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1ECE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意识形态舆情数据接入及监测运维服务</w:t>
      </w:r>
    </w:p>
    <w:p w14:paraId="353A53D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采购项目询价单</w:t>
      </w:r>
    </w:p>
    <w:p w14:paraId="1359843A">
      <w:pPr>
        <w:jc w:val="center"/>
        <w:rPr>
          <w:rFonts w:hint="eastAsia"/>
        </w:rPr>
      </w:pPr>
      <w:r>
        <w:rPr>
          <w:rFonts w:hint="eastAsia"/>
        </w:rPr>
        <w:t>（项目号：SISU26C00141）</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139"/>
        <w:gridCol w:w="1580"/>
        <w:gridCol w:w="4510"/>
        <w:gridCol w:w="670"/>
        <w:gridCol w:w="960"/>
        <w:gridCol w:w="1010"/>
        <w:gridCol w:w="9"/>
      </w:tblGrid>
      <w:tr w14:paraId="1290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Header/>
          <w:jc w:val="center"/>
        </w:trPr>
        <w:tc>
          <w:tcPr>
            <w:tcW w:w="576" w:type="pct"/>
            <w:shd w:val="clear" w:color="auto" w:fill="auto"/>
            <w:tcMar>
              <w:top w:w="120" w:type="dxa"/>
              <w:left w:w="120" w:type="dxa"/>
              <w:bottom w:w="120" w:type="dxa"/>
              <w:right w:w="120" w:type="dxa"/>
            </w:tcMar>
            <w:vAlign w:val="center"/>
          </w:tcPr>
          <w:p w14:paraId="085080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kern w:val="0"/>
                <w:sz w:val="24"/>
                <w:szCs w:val="24"/>
                <w:lang w:val="en-US" w:eastAsia="zh-CN" w:bidi="ar"/>
              </w:rPr>
              <w:t>品名</w:t>
            </w:r>
          </w:p>
        </w:tc>
        <w:tc>
          <w:tcPr>
            <w:tcW w:w="3082" w:type="pct"/>
            <w:gridSpan w:val="2"/>
            <w:shd w:val="clear" w:color="auto" w:fill="auto"/>
            <w:tcMar>
              <w:top w:w="120" w:type="dxa"/>
              <w:left w:w="120" w:type="dxa"/>
              <w:bottom w:w="120" w:type="dxa"/>
              <w:right w:w="120" w:type="dxa"/>
            </w:tcMar>
            <w:vAlign w:val="center"/>
          </w:tcPr>
          <w:p w14:paraId="7CFF81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kern w:val="0"/>
                <w:sz w:val="24"/>
                <w:szCs w:val="24"/>
                <w:lang w:val="en-US" w:eastAsia="zh-CN" w:bidi="ar"/>
              </w:rPr>
              <w:t>详细参数</w:t>
            </w:r>
          </w:p>
        </w:tc>
        <w:tc>
          <w:tcPr>
            <w:tcW w:w="339" w:type="pct"/>
            <w:shd w:val="clear" w:color="auto" w:fill="auto"/>
            <w:tcMar>
              <w:top w:w="120" w:type="dxa"/>
              <w:left w:w="120" w:type="dxa"/>
              <w:bottom w:w="120" w:type="dxa"/>
              <w:right w:w="120" w:type="dxa"/>
            </w:tcMar>
            <w:vAlign w:val="center"/>
          </w:tcPr>
          <w:p w14:paraId="55AF23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kern w:val="0"/>
                <w:sz w:val="24"/>
                <w:szCs w:val="24"/>
                <w:lang w:val="en-US" w:eastAsia="zh-CN" w:bidi="ar"/>
              </w:rPr>
              <w:t>数量</w:t>
            </w:r>
          </w:p>
        </w:tc>
        <w:tc>
          <w:tcPr>
            <w:tcW w:w="485" w:type="pct"/>
            <w:shd w:val="clear" w:color="auto" w:fill="auto"/>
            <w:tcMar>
              <w:top w:w="120" w:type="dxa"/>
              <w:left w:w="120" w:type="dxa"/>
              <w:bottom w:w="120" w:type="dxa"/>
              <w:right w:w="120" w:type="dxa"/>
            </w:tcMar>
            <w:vAlign w:val="center"/>
          </w:tcPr>
          <w:p w14:paraId="620AD8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kern w:val="0"/>
                <w:sz w:val="24"/>
                <w:szCs w:val="24"/>
                <w:lang w:val="en-US" w:eastAsia="zh-CN" w:bidi="ar"/>
              </w:rPr>
              <w:t>单价（元）</w:t>
            </w:r>
          </w:p>
        </w:tc>
        <w:tc>
          <w:tcPr>
            <w:tcW w:w="515" w:type="pct"/>
            <w:gridSpan w:val="2"/>
            <w:shd w:val="clear" w:color="auto" w:fill="auto"/>
            <w:tcMar>
              <w:top w:w="120" w:type="dxa"/>
              <w:left w:w="120" w:type="dxa"/>
              <w:bottom w:w="120" w:type="dxa"/>
              <w:right w:w="120" w:type="dxa"/>
            </w:tcMar>
            <w:vAlign w:val="center"/>
          </w:tcPr>
          <w:p w14:paraId="0F8829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kern w:val="0"/>
                <w:sz w:val="24"/>
                <w:szCs w:val="24"/>
                <w:lang w:val="en-US" w:eastAsia="zh-CN" w:bidi="ar"/>
              </w:rPr>
              <w:t>小计（元）</w:t>
            </w:r>
          </w:p>
        </w:tc>
      </w:tr>
      <w:tr w14:paraId="27B7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576" w:type="pct"/>
            <w:shd w:val="clear" w:color="auto" w:fill="auto"/>
            <w:tcMar>
              <w:top w:w="120" w:type="dxa"/>
              <w:left w:w="120" w:type="dxa"/>
              <w:bottom w:w="120" w:type="dxa"/>
              <w:right w:w="120" w:type="dxa"/>
            </w:tcMar>
            <w:vAlign w:val="center"/>
          </w:tcPr>
          <w:p w14:paraId="269096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kern w:val="0"/>
                <w:sz w:val="24"/>
                <w:szCs w:val="24"/>
                <w:lang w:val="en-US" w:eastAsia="zh-CN" w:bidi="ar"/>
              </w:rPr>
              <w:t>意识形态舆情数据接入及监测运维服务</w:t>
            </w:r>
          </w:p>
        </w:tc>
        <w:tc>
          <w:tcPr>
            <w:tcW w:w="3082" w:type="pct"/>
            <w:gridSpan w:val="2"/>
            <w:shd w:val="clear" w:color="auto" w:fill="auto"/>
            <w:tcMar>
              <w:top w:w="120" w:type="dxa"/>
              <w:left w:w="120" w:type="dxa"/>
              <w:bottom w:w="120" w:type="dxa"/>
              <w:right w:w="120" w:type="dxa"/>
            </w:tcMar>
            <w:vAlign w:val="center"/>
          </w:tcPr>
          <w:p w14:paraId="1B75AF2E">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一、服务内容与功能要求</w:t>
            </w:r>
          </w:p>
          <w:p w14:paraId="5910306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1.全网涉校信息监测报送：覆盖境内主流网站不少于60万家、全国及重点城市报刊电子版不少于1300份，以及主流论坛、博客、视频网站、短视频平台（抖音、哔哩哔哩、快手等）、电子报纸、手机APP等全渠道，7×24小时不间断采集涉校舆情信息；提供侵权账号人工监测、静态侵权内容人工监测，涵盖校园墙类账号、百科词条篡改、旧闻不当露出等场景；同步抓取涉校正向新闻报道。相关涉校信息经人工研判后及时推送至校方</w:t>
            </w:r>
            <w:r>
              <w:rPr>
                <w:rFonts w:hint="eastAsia" w:cs="方正仿宋_GBK"/>
                <w:kern w:val="0"/>
                <w:sz w:val="24"/>
                <w:szCs w:val="24"/>
                <w:lang w:val="en-US" w:eastAsia="zh-CN" w:bidi="ar"/>
              </w:rPr>
              <w:t>。</w:t>
            </w:r>
          </w:p>
          <w:p w14:paraId="11ACAAF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2.舆情处置与应对：对报送舆情进行完整记录与分析判断，涵盖发布主体、内容分类、侵权判定、侵权类型等维度；提供侵权法律分析与建议书，协助开展合规维权处置；重大舆情协助开展报警维权、澄清公告发布、当事人对接、出具律师函等工作。</w:t>
            </w:r>
          </w:p>
          <w:p w14:paraId="5E6EF63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3.舆情数据报告：提供舆情突发简报、过程报告、专项总结报告、声明公告支撑、舆情周报、月报等周期性报告，包含传播数据、热点分析、传播路径等内容。</w:t>
            </w:r>
          </w:p>
          <w:p w14:paraId="6F8A3D0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4.网络引导与处置服务：配备网络引导团队，制定舆论引导策略，开展正面引导与不实信息澄清；组织人力对涉校敏感信息通过投诉、举报等方式进行有效处置；提供全国高校舆情案例库支撑。</w:t>
            </w:r>
          </w:p>
          <w:p w14:paraId="46B12E20">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5.※数据对接与中台融合：按照学校统一API接口规范，采用POST请求、application/json格式，实时推送全量舆情数据，支持单条与批量提交模式；接口具备鉴权机制，配合IP白名单配置与服务鉴权校验，采用HTTPS加密传输；推送字段包含精准舆情主键ID、舆情数据ID、机构ID、标题、摘要、正文、作者、来源、关键词、原文网址、发布时间、事件分类、媒体环节、媒体级别、媒体属性、舆情调性、预警标识、截图地址、创建/更新时间、视频标识、数据类型等完整字段，与学校接口定义完全对齐；推送数据适配学校意识形态安全智管专题数据库风险感知域规范，纳入学校数据源统一管理，支撑自动定级、工单联动、台账沉淀全链路贯通。</w:t>
            </w:r>
          </w:p>
          <w:p w14:paraId="5EAFBB8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二、※核心技术与性能指标</w:t>
            </w:r>
          </w:p>
          <w:p w14:paraId="139EA17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1.敏感舆情发现响应时间≤10分钟；一般舆情首次报送≤15分钟，重大舆情突发快报≤30分钟。</w:t>
            </w:r>
          </w:p>
          <w:p w14:paraId="6D88C59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2.单条舆情从采集完成到推送至学校接口的延迟≤5分钟。</w:t>
            </w:r>
          </w:p>
          <w:p w14:paraId="3785EDE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3.数据推送成功率≥99.9%，具备失败自动重试机制与异常告警能力。</w:t>
            </w:r>
          </w:p>
          <w:p w14:paraId="3B2CDEF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4.支持日均万级数据量推送，满足全量舆情数据传输需求。</w:t>
            </w:r>
          </w:p>
          <w:p w14:paraId="3A1A7902">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三、服务标准</w:t>
            </w:r>
          </w:p>
          <w:p w14:paraId="45C7221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1.提供7×24小时不间断值守服务，节假日无休。</w:t>
            </w:r>
          </w:p>
          <w:p w14:paraId="086693B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kern w:val="0"/>
                <w:sz w:val="24"/>
                <w:szCs w:val="24"/>
                <w:lang w:val="en-US" w:eastAsia="zh-CN" w:bidi="ar"/>
              </w:rPr>
            </w:pPr>
            <w:r>
              <w:rPr>
                <w:rFonts w:hint="eastAsia" w:ascii="方正仿宋_GBK" w:hAnsi="方正仿宋_GBK" w:eastAsia="方正仿宋_GBK" w:cs="方正仿宋_GBK"/>
                <w:kern w:val="0"/>
                <w:sz w:val="24"/>
                <w:szCs w:val="24"/>
                <w:lang w:val="en-US" w:eastAsia="zh-CN" w:bidi="ar"/>
              </w:rPr>
              <w:t>2.配备专业服务团队，提供舆情监测、分析、处置、对接全流程支撑。</w:t>
            </w:r>
          </w:p>
          <w:p w14:paraId="55960B9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kern w:val="0"/>
                <w:sz w:val="24"/>
                <w:szCs w:val="24"/>
                <w:lang w:val="en-US" w:eastAsia="zh-CN" w:bidi="ar"/>
              </w:rPr>
              <w:t>3.严格遵守《网络安全法》《数据安全法》《个人信息保护法》等法律法规，落实数据安全与保密管理要求，服务数据仅限校内使用，不泄露、不扩散学校敏感信息。</w:t>
            </w:r>
          </w:p>
        </w:tc>
        <w:tc>
          <w:tcPr>
            <w:tcW w:w="339" w:type="pct"/>
            <w:shd w:val="clear" w:color="auto" w:fill="auto"/>
            <w:tcMar>
              <w:top w:w="120" w:type="dxa"/>
              <w:left w:w="120" w:type="dxa"/>
              <w:bottom w:w="120" w:type="dxa"/>
              <w:right w:w="120" w:type="dxa"/>
            </w:tcMar>
            <w:vAlign w:val="center"/>
          </w:tcPr>
          <w:p w14:paraId="607440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kern w:val="0"/>
                <w:sz w:val="24"/>
                <w:szCs w:val="24"/>
                <w:lang w:val="en-US" w:eastAsia="zh-CN" w:bidi="ar"/>
              </w:rPr>
              <w:t>1年</w:t>
            </w:r>
          </w:p>
        </w:tc>
        <w:tc>
          <w:tcPr>
            <w:tcW w:w="485" w:type="pct"/>
            <w:shd w:val="clear" w:color="auto" w:fill="auto"/>
            <w:tcMar>
              <w:top w:w="120" w:type="dxa"/>
              <w:left w:w="120" w:type="dxa"/>
              <w:bottom w:w="120" w:type="dxa"/>
              <w:right w:w="120" w:type="dxa"/>
            </w:tcMar>
            <w:vAlign w:val="center"/>
          </w:tcPr>
          <w:p w14:paraId="7E4E300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szCs w:val="24"/>
              </w:rPr>
            </w:pPr>
          </w:p>
        </w:tc>
        <w:tc>
          <w:tcPr>
            <w:tcW w:w="515" w:type="pct"/>
            <w:gridSpan w:val="2"/>
            <w:shd w:val="clear" w:color="auto" w:fill="auto"/>
            <w:tcMar>
              <w:top w:w="120" w:type="dxa"/>
              <w:left w:w="120" w:type="dxa"/>
              <w:bottom w:w="120" w:type="dxa"/>
              <w:right w:w="120" w:type="dxa"/>
            </w:tcMar>
            <w:vAlign w:val="center"/>
          </w:tcPr>
          <w:p w14:paraId="1508F88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szCs w:val="24"/>
              </w:rPr>
            </w:pPr>
          </w:p>
        </w:tc>
      </w:tr>
      <w:tr w14:paraId="12AB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gridAfter w:val="1"/>
          <w:wAfter w:w="4" w:type="pct"/>
          <w:jc w:val="center"/>
        </w:trPr>
        <w:tc>
          <w:tcPr>
            <w:tcW w:w="1376" w:type="pct"/>
            <w:gridSpan w:val="2"/>
            <w:shd w:val="clear" w:color="auto" w:fill="auto"/>
            <w:tcMar>
              <w:top w:w="120" w:type="dxa"/>
              <w:left w:w="120" w:type="dxa"/>
              <w:bottom w:w="120" w:type="dxa"/>
              <w:right w:w="120" w:type="dxa"/>
            </w:tcMar>
            <w:vAlign w:val="center"/>
          </w:tcPr>
          <w:p w14:paraId="0C6FA1C3">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color w:val="000000" w:themeColor="text1"/>
                <w:sz w:val="24"/>
                <w:szCs w:val="24"/>
                <w14:textFill>
                  <w14:solidFill>
                    <w14:schemeClr w14:val="tx1"/>
                  </w14:solidFill>
                </w14:textFill>
              </w:rPr>
              <w:t>合计小写</w:t>
            </w:r>
          </w:p>
        </w:tc>
        <w:tc>
          <w:tcPr>
            <w:tcW w:w="3619" w:type="pct"/>
            <w:gridSpan w:val="4"/>
            <w:shd w:val="clear" w:color="auto" w:fill="auto"/>
            <w:tcMar>
              <w:top w:w="120" w:type="dxa"/>
              <w:left w:w="120" w:type="dxa"/>
              <w:bottom w:w="120" w:type="dxa"/>
              <w:right w:w="120" w:type="dxa"/>
            </w:tcMar>
            <w:vAlign w:val="center"/>
          </w:tcPr>
          <w:p w14:paraId="0AF962AE">
            <w:pPr>
              <w:jc w:val="both"/>
              <w:rPr>
                <w:rFonts w:hint="eastAsia" w:ascii="方正仿宋_GBK" w:hAnsi="方正仿宋_GBK" w:eastAsia="方正仿宋_GBK" w:cs="方正仿宋_GBK"/>
                <w:sz w:val="24"/>
                <w:szCs w:val="24"/>
              </w:rPr>
            </w:pPr>
          </w:p>
        </w:tc>
      </w:tr>
      <w:tr w14:paraId="2D66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gridAfter w:val="1"/>
          <w:wAfter w:w="4" w:type="pct"/>
          <w:jc w:val="center"/>
        </w:trPr>
        <w:tc>
          <w:tcPr>
            <w:tcW w:w="1376" w:type="pct"/>
            <w:gridSpan w:val="2"/>
            <w:shd w:val="clear" w:color="auto" w:fill="auto"/>
            <w:tcMar>
              <w:top w:w="120" w:type="dxa"/>
              <w:left w:w="120" w:type="dxa"/>
              <w:bottom w:w="120" w:type="dxa"/>
              <w:right w:w="120" w:type="dxa"/>
            </w:tcMar>
            <w:vAlign w:val="center"/>
          </w:tcPr>
          <w:p w14:paraId="0D33944B">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color w:val="000000" w:themeColor="text1"/>
                <w:sz w:val="24"/>
                <w:szCs w:val="24"/>
                <w14:textFill>
                  <w14:solidFill>
                    <w14:schemeClr w14:val="tx1"/>
                  </w14:solidFill>
                </w14:textFill>
              </w:rPr>
              <w:t>合计大写</w:t>
            </w:r>
          </w:p>
        </w:tc>
        <w:tc>
          <w:tcPr>
            <w:tcW w:w="3619" w:type="pct"/>
            <w:gridSpan w:val="4"/>
            <w:shd w:val="clear" w:color="auto" w:fill="auto"/>
            <w:tcMar>
              <w:top w:w="120" w:type="dxa"/>
              <w:left w:w="120" w:type="dxa"/>
              <w:bottom w:w="120" w:type="dxa"/>
              <w:right w:w="120" w:type="dxa"/>
            </w:tcMar>
            <w:vAlign w:val="center"/>
          </w:tcPr>
          <w:p w14:paraId="29738C99">
            <w:pPr>
              <w:jc w:val="both"/>
              <w:rPr>
                <w:rFonts w:hint="eastAsia" w:ascii="方正仿宋_GBK" w:hAnsi="方正仿宋_GBK" w:eastAsia="方正仿宋_GBK" w:cs="方正仿宋_GBK"/>
                <w:sz w:val="24"/>
                <w:szCs w:val="24"/>
              </w:rPr>
            </w:pPr>
          </w:p>
        </w:tc>
      </w:tr>
      <w:tr w14:paraId="205E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gridAfter w:val="1"/>
          <w:wAfter w:w="4" w:type="pct"/>
          <w:jc w:val="center"/>
        </w:trPr>
        <w:tc>
          <w:tcPr>
            <w:tcW w:w="4995" w:type="pct"/>
            <w:gridSpan w:val="6"/>
            <w:shd w:val="clear" w:color="auto" w:fill="auto"/>
            <w:tcMar>
              <w:top w:w="120" w:type="dxa"/>
              <w:left w:w="120" w:type="dxa"/>
              <w:bottom w:w="120" w:type="dxa"/>
              <w:right w:w="120" w:type="dxa"/>
            </w:tcMar>
            <w:vAlign w:val="center"/>
          </w:tcPr>
          <w:p w14:paraId="1DAB0878">
            <w:pPr>
              <w:pStyle w:val="7"/>
              <w:tabs>
                <w:tab w:val="left" w:pos="5600"/>
              </w:tabs>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报价单位（盖章）：</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ab/>
            </w:r>
            <w:r>
              <w:rPr>
                <w:rFonts w:hint="eastAsia" w:ascii="方正仿宋_GBK" w:hAnsi="方正仿宋_GBK" w:eastAsia="方正仿宋_GBK" w:cs="方正仿宋_GBK"/>
                <w:color w:val="000000" w:themeColor="text1"/>
                <w:sz w:val="24"/>
                <w:szCs w:val="24"/>
                <w14:textFill>
                  <w14:solidFill>
                    <w14:schemeClr w14:val="tx1"/>
                  </w14:solidFill>
                </w14:textFill>
              </w:rPr>
              <w:t>报价时间：</w:t>
            </w:r>
          </w:p>
          <w:p w14:paraId="109C2BA8">
            <w:pPr>
              <w:tabs>
                <w:tab w:val="left" w:pos="5600"/>
              </w:tabs>
              <w:jc w:val="both"/>
              <w:rPr>
                <w:rFonts w:hint="eastAsia" w:ascii="方正仿宋_GBK" w:hAnsi="方正仿宋_GBK" w:eastAsia="方正仿宋_GBK" w:cs="方正仿宋_GBK"/>
                <w:sz w:val="24"/>
                <w:szCs w:val="24"/>
              </w:rPr>
            </w:pPr>
            <w:r>
              <w:rPr>
                <w:rFonts w:hint="eastAsia" w:ascii="方正仿宋_GBK" w:hAnsi="方正仿宋_GBK" w:eastAsia="方正仿宋_GBK" w:cs="方正仿宋_GBK"/>
                <w:color w:val="000000" w:themeColor="text1"/>
                <w:sz w:val="24"/>
                <w:szCs w:val="24"/>
                <w14:textFill>
                  <w14:solidFill>
                    <w14:schemeClr w14:val="tx1"/>
                  </w14:solidFill>
                </w14:textFill>
              </w:rPr>
              <w:t>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ab/>
            </w:r>
            <w:r>
              <w:rPr>
                <w:rFonts w:hint="eastAsia" w:ascii="方正仿宋_GBK" w:hAnsi="方正仿宋_GBK" w:eastAsia="方正仿宋_GBK" w:cs="方正仿宋_GBK"/>
                <w:color w:val="000000" w:themeColor="text1"/>
                <w:sz w:val="24"/>
                <w:szCs w:val="24"/>
                <w14:textFill>
                  <w14:solidFill>
                    <w14:schemeClr w14:val="tx1"/>
                  </w14:solidFill>
                </w14:textFill>
              </w:rPr>
              <w:t>联系电话：</w:t>
            </w:r>
          </w:p>
        </w:tc>
      </w:tr>
    </w:tbl>
    <w:p w14:paraId="2D19E5F3">
      <w:pPr>
        <w:rPr>
          <w:rFonts w:hint="eastAsia"/>
        </w:rPr>
      </w:pPr>
      <w:r>
        <w:rPr>
          <w:rFonts w:hint="eastAsia"/>
        </w:rPr>
        <w:br w:type="page"/>
      </w:r>
    </w:p>
    <w:p w14:paraId="617273C9">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一、供应商资格条件</w:t>
      </w:r>
    </w:p>
    <w:p w14:paraId="40AD9C8A">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具有独立承担民事责任的能力，具备合法有效的营业执照；</w:t>
      </w:r>
    </w:p>
    <w:p w14:paraId="6316CB4D">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具有良好的商业信誉和健全的财务会计制度；</w:t>
      </w:r>
    </w:p>
    <w:p w14:paraId="7CDF9E68">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具有履行合同所必需的技术服务能力、舆情分析运营团队及售后服务能力；</w:t>
      </w:r>
    </w:p>
    <w:p w14:paraId="1E59F4ED">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有依法缴纳税收和社会保障资金的良好记录；</w:t>
      </w:r>
    </w:p>
    <w:p w14:paraId="0B1B5CAC">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参加政府采购活动前三年内，在经营活动中没有重大违法记录；</w:t>
      </w:r>
    </w:p>
    <w:p w14:paraId="13AE07FF">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拥有高校舆情监测、意识形态数据服务及数据接口对接项目实施经验者优先；</w:t>
      </w:r>
    </w:p>
    <w:p w14:paraId="08470098">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项目负责人须具有3年以上高校舆情服务项目管理经验，具备舆情研判、数据对接统筹与应急处置协调能力；核心技术人员须熟悉API接口开发规范、数据传输安全要求及高校信息化系统对接逻辑；</w:t>
      </w:r>
    </w:p>
    <w:p w14:paraId="41B5644F">
      <w:pPr>
        <w:pStyle w:val="7"/>
        <w:keepNext w:val="0"/>
        <w:keepLines w:val="0"/>
        <w:pageBreakBefore w:val="0"/>
        <w:widowControl/>
        <w:numPr>
          <w:ilvl w:val="0"/>
          <w:numId w:val="1"/>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法律、行政法规规定的其他条件。</w:t>
      </w:r>
    </w:p>
    <w:p w14:paraId="0A5C5DAA">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二、成交原则</w:t>
      </w:r>
    </w:p>
    <w:p w14:paraId="41055926">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满足本询价文件全部实质性技术与商务要求、资格资质合格且报价最低的供应商为成交供应商；若报价相同，由采购人根据技术方案完整性、项目团队经验、售后服务能力综合评定。</w:t>
      </w:r>
    </w:p>
    <w:p w14:paraId="04ABB2AC">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三、项目交付周期</w:t>
      </w:r>
    </w:p>
    <w:p w14:paraId="79C441D7">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自合同签订之日起</w:t>
      </w:r>
      <w:r>
        <w:rPr>
          <w:rFonts w:hint="eastAsia" w:ascii="方正仿宋_GBK" w:hAnsi="方正仿宋_GBK" w:eastAsia="方正仿宋_GBK" w:cs="方正仿宋_GBK"/>
          <w:sz w:val="32"/>
          <w:szCs w:val="32"/>
          <w:lang w:val="en-US" w:eastAsia="zh-CN"/>
        </w:rPr>
        <w:t>15</w:t>
      </w:r>
      <w:r>
        <w:rPr>
          <w:rFonts w:hint="eastAsia" w:ascii="方正仿宋_GBK" w:hAnsi="方正仿宋_GBK" w:eastAsia="方正仿宋_GBK" w:cs="方正仿宋_GBK"/>
          <w:sz w:val="32"/>
          <w:szCs w:val="32"/>
        </w:rPr>
        <w:t>个工作日内完成接口联调、功能测试，启动连续72小时试运行；试运行通过后</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个工作日内完成上线验收；本项目服务周期为1年，自上线验收合格之日起计算。各阶段进度须符合经校方确认的项目实施方案约定的节点要求。</w:t>
      </w:r>
    </w:p>
    <w:p w14:paraId="4049E904">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四、项目实施地点</w:t>
      </w:r>
    </w:p>
    <w:p w14:paraId="4A92F7D1">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四川外国语大学校内，数据对接与系统部署按校方指定的信息化环境实施。</w:t>
      </w:r>
    </w:p>
    <w:p w14:paraId="02CBD7F5">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五、验收方式</w:t>
      </w:r>
    </w:p>
    <w:p w14:paraId="3C76641E">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）上线阶段验收</w:t>
      </w:r>
    </w:p>
    <w:p w14:paraId="688F75AC">
      <w:pPr>
        <w:pStyle w:val="7"/>
        <w:keepNext w:val="0"/>
        <w:keepLines w:val="0"/>
        <w:pageBreakBefore w:val="0"/>
        <w:widowControl/>
        <w:numPr>
          <w:ilvl w:val="0"/>
          <w:numId w:val="2"/>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交付物核验：供应商提交项目实施方案、接口对接文档、运维保障方案、应急处置预案等全套文档，内容齐全且符合要求。</w:t>
      </w:r>
    </w:p>
    <w:p w14:paraId="6CEE442F">
      <w:pPr>
        <w:pStyle w:val="7"/>
        <w:keepNext w:val="0"/>
        <w:keepLines w:val="0"/>
        <w:pageBreakBefore w:val="0"/>
        <w:widowControl/>
        <w:numPr>
          <w:ilvl w:val="0"/>
          <w:numId w:val="2"/>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功能与性能验证：接口连通正常，字段完整规范；连续72小时试运行，数据推送平均延迟≤5分钟、推送成功率≥99.9%，数据可正常接入学校专题数据库并支撑全链路业务流转；基础舆情监测、预警推送功能可用，抽检时效指标符合约定。</w:t>
      </w:r>
    </w:p>
    <w:p w14:paraId="617BA502">
      <w:pPr>
        <w:pStyle w:val="7"/>
        <w:keepNext w:val="0"/>
        <w:keepLines w:val="0"/>
        <w:pageBreakBefore w:val="0"/>
        <w:widowControl/>
        <w:numPr>
          <w:ilvl w:val="0"/>
          <w:numId w:val="2"/>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验收合格后双方签署上线验收单，正式启动1年服务周期。</w:t>
      </w:r>
    </w:p>
    <w:p w14:paraId="303DEB9E">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二</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）服务期满终验</w:t>
      </w:r>
    </w:p>
    <w:p w14:paraId="743CAB06">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服务周期届满后启动终验核验，同时满足以下条件的判定为终验合格：</w:t>
      </w:r>
    </w:p>
    <w:p w14:paraId="54930EB1">
      <w:pPr>
        <w:pStyle w:val="7"/>
        <w:keepNext w:val="0"/>
        <w:keepLines w:val="0"/>
        <w:pageBreakBefore w:val="0"/>
        <w:widowControl/>
        <w:numPr>
          <w:ilvl w:val="0"/>
          <w:numId w:val="3"/>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全年周报、月报交付及时性与完整性抽检合格率不低于98%；</w:t>
      </w:r>
    </w:p>
    <w:p w14:paraId="57EB93DB">
      <w:pPr>
        <w:pStyle w:val="7"/>
        <w:keepNext w:val="0"/>
        <w:keepLines w:val="0"/>
        <w:pageBreakBefore w:val="0"/>
        <w:widowControl/>
        <w:numPr>
          <w:ilvl w:val="0"/>
          <w:numId w:val="3"/>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全年舆情响应时效达标率不低于95%，数据推送全年可用率不低于99.9%；</w:t>
      </w:r>
    </w:p>
    <w:p w14:paraId="63F1E379">
      <w:pPr>
        <w:pStyle w:val="7"/>
        <w:keepNext w:val="0"/>
        <w:keepLines w:val="0"/>
        <w:pageBreakBefore w:val="0"/>
        <w:widowControl/>
        <w:numPr>
          <w:ilvl w:val="0"/>
          <w:numId w:val="3"/>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全年未出现因供应商责任导致的重大舆情漏报（指应监测到的敏感/重大舆情未按约定时效报送，造成不良校园影响）、单次超过</w:t>
      </w:r>
      <w:bookmarkStart w:id="0" w:name="_GoBack"/>
      <w:bookmarkEnd w:id="0"/>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4小时的数据推送中断或信息泄漏事件。</w:t>
      </w:r>
    </w:p>
    <w:p w14:paraId="515C6924">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三</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）通用要求</w:t>
      </w:r>
    </w:p>
    <w:p w14:paraId="5990F2D9">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若任一阶段验收不合格，供应商须在</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个工作日内完成整改并申请复验；上线验收阶段同一事项累计2次整改仍不合格的，采购人有权终止合同并追究违约责任；终验阶段整改不合格的，采购人有权扣除对应尾款，直至整改合格。</w:t>
      </w:r>
    </w:p>
    <w:p w14:paraId="657465C7">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六、</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服务响应与保障</w:t>
      </w:r>
      <w:r>
        <w:rPr>
          <w:rFonts w:hint="eastAsia" w:ascii="方正仿宋_GBK" w:hAnsi="方正仿宋_GBK" w:eastAsia="方正仿宋_GBK" w:cs="方正仿宋_GBK"/>
          <w:color w:val="000000" w:themeColor="text1"/>
          <w:sz w:val="32"/>
          <w:szCs w:val="32"/>
          <w14:textFill>
            <w14:solidFill>
              <w14:schemeClr w14:val="tx1"/>
            </w14:solidFill>
          </w14:textFill>
        </w:rPr>
        <w:t>要求</w:t>
      </w:r>
    </w:p>
    <w:p w14:paraId="70A9023C">
      <w:pPr>
        <w:pStyle w:val="7"/>
        <w:keepNext w:val="0"/>
        <w:keepLines w:val="0"/>
        <w:pageBreakBefore w:val="0"/>
        <w:widowControl/>
        <w:numPr>
          <w:ilvl w:val="0"/>
          <w:numId w:val="4"/>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32"/>
          <w:szCs w:val="32"/>
          <w14:textFill>
            <w14:solidFill>
              <w14:schemeClr w14:val="tx1"/>
            </w14:solidFill>
          </w14:textFill>
        </w:rPr>
        <w:t>期内提供7×24小时技术保障，若出现舆情响应不及时、数据推送异常、接口对接故障等问题，供应商须在接到校方通知后1小时内响应，2小时内提供远程技术支持与处置方案，4小时内排查修复，确保服务恢复正常。</w:t>
      </w:r>
    </w:p>
    <w:p w14:paraId="1221CF20">
      <w:pPr>
        <w:pStyle w:val="7"/>
        <w:keepNext w:val="0"/>
        <w:keepLines w:val="0"/>
        <w:pageBreakBefore w:val="0"/>
        <w:widowControl/>
        <w:numPr>
          <w:ilvl w:val="0"/>
          <w:numId w:val="4"/>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32"/>
          <w:szCs w:val="32"/>
          <w14:textFill>
            <w14:solidFill>
              <w14:schemeClr w14:val="tx1"/>
            </w14:solidFill>
          </w14:textFill>
        </w:rPr>
        <w:t>期内提供免费技术支持服务，包含监测关键词调整、接口适配优化、定期服务复盘、漏洞修复指导等，不产生额外费用。</w:t>
      </w:r>
    </w:p>
    <w:p w14:paraId="51548C64">
      <w:pPr>
        <w:pStyle w:val="7"/>
        <w:keepNext w:val="0"/>
        <w:keepLines w:val="0"/>
        <w:pageBreakBefore w:val="0"/>
        <w:widowControl/>
        <w:numPr>
          <w:ilvl w:val="0"/>
          <w:numId w:val="4"/>
        </w:numPr>
        <w:kinsoku/>
        <w:wordWrap/>
        <w:overflowPunct/>
        <w:topLinePunct w:val="0"/>
        <w:autoSpaceDE/>
        <w:autoSpaceDN/>
        <w:bidi w:val="0"/>
        <w:adjustRightInd/>
        <w:snapToGrid/>
        <w:spacing w:line="520" w:lineRule="exact"/>
        <w:ind w:left="567" w:leftChars="0" w:hanging="283"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32"/>
          <w:szCs w:val="32"/>
          <w14:textFill>
            <w14:solidFill>
              <w14:schemeClr w14:val="tx1"/>
            </w14:solidFill>
          </w14:textFill>
        </w:rPr>
        <w:t>期内非校方人为操作导致的服务中断、数据异常、配置失效等问题，全部由供应商免费排查修复。</w:t>
      </w:r>
    </w:p>
    <w:p w14:paraId="37EA2DEB">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七、付款方式</w:t>
      </w:r>
    </w:p>
    <w:p w14:paraId="56E11370">
      <w:pPr>
        <w:pStyle w:val="7"/>
        <w:keepNext w:val="0"/>
        <w:keepLines w:val="0"/>
        <w:pageBreakBefore w:val="0"/>
        <w:widowControl/>
        <w:numPr>
          <w:ilvl w:val="0"/>
          <w:numId w:val="5"/>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上线验收合格后，供应商开具合同总金额95%的增值税发票；采购人收到发票后10个工作日内，以转账方式支付对应款项</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14:paraId="3661671F">
      <w:pPr>
        <w:pStyle w:val="7"/>
        <w:keepNext w:val="0"/>
        <w:keepLines w:val="0"/>
        <w:pageBreakBefore w:val="0"/>
        <w:widowControl/>
        <w:numPr>
          <w:ilvl w:val="0"/>
          <w:numId w:val="5"/>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终验合格后，供应商开具剩余5%的增值税发票；采购人收到发票后10个工作日内，以转账方式支付对应款项。</w:t>
      </w:r>
    </w:p>
    <w:p w14:paraId="6305DF08">
      <w:pPr>
        <w:pStyle w:val="2"/>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八、补充说明</w:t>
      </w:r>
    </w:p>
    <w:p w14:paraId="6D749A97">
      <w:pPr>
        <w:pStyle w:val="7"/>
        <w:keepNext w:val="0"/>
        <w:keepLines w:val="0"/>
        <w:pageBreakBefore w:val="0"/>
        <w:widowControl/>
        <w:numPr>
          <w:ilvl w:val="0"/>
          <w:numId w:val="6"/>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本项目最高限价49800.00元。本次报价为人民币含税全包价，包含人工服务费、平台使用费、数据对接费、技术支持费、服务保障费、税费等所有与本项目相关的费用。因供应商自身原因造成漏报、少报，相关责任由其自行承担，采购人不再另行支付费用。</w:t>
      </w:r>
    </w:p>
    <w:p w14:paraId="24A54779">
      <w:pPr>
        <w:pStyle w:val="7"/>
        <w:keepNext w:val="0"/>
        <w:keepLines w:val="0"/>
        <w:pageBreakBefore w:val="0"/>
        <w:widowControl/>
        <w:numPr>
          <w:ilvl w:val="0"/>
          <w:numId w:val="6"/>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供应商须保证舆情数据推送与学校现有API接口规范、意识形态安全智管专题数据库完全兼容，数据可正常接入并支撑全链路业务流转；如因对接实施、配置不当导致兼容性或数据异常问题，供应商须无偿整改并承担由此造成的损失。</w:t>
      </w:r>
    </w:p>
    <w:p w14:paraId="36B5C5C7">
      <w:pPr>
        <w:pStyle w:val="7"/>
        <w:keepNext w:val="0"/>
        <w:keepLines w:val="0"/>
        <w:pageBreakBefore w:val="0"/>
        <w:widowControl/>
        <w:numPr>
          <w:ilvl w:val="0"/>
          <w:numId w:val="6"/>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报价时须提供以下材料并加盖供应商公章：</w:t>
      </w:r>
    </w:p>
    <w:p w14:paraId="0C1C95D1">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left="56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（1）营业执照副本复印件；</w:t>
      </w:r>
    </w:p>
    <w:p w14:paraId="12B9BC6B">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left="56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（2）项目实施方案概要（含监测方案、数据对接方案、团队配置、进度计划、应急保障）；</w:t>
      </w:r>
    </w:p>
    <w:p w14:paraId="7B40AFEC">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left="56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（3）售后服务承诺函；</w:t>
      </w:r>
    </w:p>
    <w:p w14:paraId="4C324A06">
      <w:pPr>
        <w:pStyle w:val="7"/>
        <w:keepNext w:val="0"/>
        <w:keepLines w:val="0"/>
        <w:pageBreakBefore w:val="0"/>
        <w:widowControl/>
        <w:numPr>
          <w:ilvl w:val="0"/>
          <w:numId w:val="0"/>
        </w:numPr>
        <w:kinsoku/>
        <w:wordWrap/>
        <w:overflowPunct/>
        <w:topLinePunct w:val="0"/>
        <w:autoSpaceDE/>
        <w:autoSpaceDN/>
        <w:bidi w:val="0"/>
        <w:adjustRightInd/>
        <w:snapToGrid/>
        <w:spacing w:line="520" w:lineRule="exact"/>
        <w:ind w:left="56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（4）项目负责人及核心技术人员资质/经验等证明材料。</w:t>
      </w:r>
    </w:p>
    <w:p w14:paraId="3BE29066">
      <w:pPr>
        <w:pStyle w:val="7"/>
        <w:keepNext w:val="0"/>
        <w:keepLines w:val="0"/>
        <w:pageBreakBefore w:val="0"/>
        <w:widowControl/>
        <w:numPr>
          <w:ilvl w:val="0"/>
          <w:numId w:val="6"/>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报价人须在2026年1</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14:textFill>
            <w14:solidFill>
              <w14:schemeClr w14:val="tx1"/>
            </w14:solidFill>
          </w14:textFill>
        </w:rPr>
        <w:t>月</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32"/>
          <w:szCs w:val="32"/>
          <w14:textFill>
            <w14:solidFill>
              <w14:schemeClr w14:val="tx1"/>
            </w14:solidFill>
          </w14:textFill>
        </w:rPr>
        <w:t>日1</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0</w:t>
      </w:r>
      <w:r>
        <w:rPr>
          <w:rFonts w:hint="eastAsia" w:ascii="方正仿宋_GBK" w:hAnsi="方正仿宋_GBK" w:eastAsia="方正仿宋_GBK" w:cs="方正仿宋_GBK"/>
          <w:color w:val="000000" w:themeColor="text1"/>
          <w:sz w:val="32"/>
          <w:szCs w:val="32"/>
          <w14:textFill>
            <w14:solidFill>
              <w14:schemeClr w14:val="tx1"/>
            </w14:solidFill>
          </w14:textFill>
        </w:rPr>
        <w:t>:00前，将填写完整并加盖鲜章的报价单及相关资料密封递交至四川外国语大学宏文楼306办公室，逾期送达或未按要求密封的报价文件不予接收。</w:t>
      </w:r>
    </w:p>
    <w:p w14:paraId="0F54E9AF">
      <w:pPr>
        <w:pStyle w:val="7"/>
        <w:keepNext w:val="0"/>
        <w:keepLines w:val="0"/>
        <w:pageBreakBefore w:val="0"/>
        <w:widowControl/>
        <w:numPr>
          <w:ilvl w:val="0"/>
          <w:numId w:val="6"/>
        </w:numPr>
        <w:kinsoku/>
        <w:wordWrap/>
        <w:overflowPunct/>
        <w:topLinePunct w:val="0"/>
        <w:autoSpaceDE/>
        <w:autoSpaceDN/>
        <w:bidi w:val="0"/>
        <w:adjustRightInd/>
        <w:snapToGrid/>
        <w:spacing w:line="520" w:lineRule="exact"/>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联系人：</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罗</w:t>
      </w:r>
      <w:r>
        <w:rPr>
          <w:rFonts w:hint="eastAsia" w:ascii="方正仿宋_GBK" w:hAnsi="方正仿宋_GBK" w:eastAsia="方正仿宋_GBK" w:cs="方正仿宋_GBK"/>
          <w:color w:val="000000" w:themeColor="text1"/>
          <w:sz w:val="32"/>
          <w:szCs w:val="32"/>
          <w14:textFill>
            <w14:solidFill>
              <w14:schemeClr w14:val="tx1"/>
            </w14:solidFill>
          </w14:textFill>
        </w:rPr>
        <w:t>老师，联系电话：65385522。</w:t>
      </w:r>
    </w:p>
    <w:sectPr>
      <w:footerReference r:id="rId3" w:type="default"/>
      <w:pgSz w:w="11906" w:h="16838"/>
      <w:pgMar w:top="1134" w:right="1134" w:bottom="1134" w:left="1134" w:header="737" w:footer="73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46CC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8299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68299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428E14"/>
    <w:multiLevelType w:val="multilevel"/>
    <w:tmpl w:val="C8428E14"/>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
    <w:nsid w:val="ED22FCEE"/>
    <w:multiLevelType w:val="multilevel"/>
    <w:tmpl w:val="ED22FCEE"/>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2">
    <w:nsid w:val="17F166F9"/>
    <w:multiLevelType w:val="multilevel"/>
    <w:tmpl w:val="17F166F9"/>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3">
    <w:nsid w:val="3C6F33A0"/>
    <w:multiLevelType w:val="multilevel"/>
    <w:tmpl w:val="3C6F33A0"/>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4">
    <w:nsid w:val="3F98666E"/>
    <w:multiLevelType w:val="multilevel"/>
    <w:tmpl w:val="3F98666E"/>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5">
    <w:nsid w:val="557D6E89"/>
    <w:multiLevelType w:val="multilevel"/>
    <w:tmpl w:val="557D6E89"/>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267A37"/>
    <w:rsid w:val="07462294"/>
    <w:rsid w:val="07A62D33"/>
    <w:rsid w:val="07DE427B"/>
    <w:rsid w:val="09502F56"/>
    <w:rsid w:val="0F6B0AEA"/>
    <w:rsid w:val="123175CA"/>
    <w:rsid w:val="145002AE"/>
    <w:rsid w:val="149A777C"/>
    <w:rsid w:val="15883A78"/>
    <w:rsid w:val="17982698"/>
    <w:rsid w:val="18F558C8"/>
    <w:rsid w:val="21C67E02"/>
    <w:rsid w:val="22C97BAA"/>
    <w:rsid w:val="2786250D"/>
    <w:rsid w:val="28995C56"/>
    <w:rsid w:val="2A697EC4"/>
    <w:rsid w:val="2B267A37"/>
    <w:rsid w:val="2CBA4A07"/>
    <w:rsid w:val="2D0F6B01"/>
    <w:rsid w:val="2E4C5B33"/>
    <w:rsid w:val="2EAB2859"/>
    <w:rsid w:val="2F300FB0"/>
    <w:rsid w:val="39400042"/>
    <w:rsid w:val="398E0DAD"/>
    <w:rsid w:val="3C463BC1"/>
    <w:rsid w:val="3E7E7642"/>
    <w:rsid w:val="3E8B2434"/>
    <w:rsid w:val="3F0F0BE2"/>
    <w:rsid w:val="3FE61943"/>
    <w:rsid w:val="417A0B91"/>
    <w:rsid w:val="431D59F5"/>
    <w:rsid w:val="4792415F"/>
    <w:rsid w:val="4B5E0F27"/>
    <w:rsid w:val="4C5377F9"/>
    <w:rsid w:val="4CBF23F9"/>
    <w:rsid w:val="4F8847C5"/>
    <w:rsid w:val="52D75447"/>
    <w:rsid w:val="55B81234"/>
    <w:rsid w:val="55EC5382"/>
    <w:rsid w:val="56170651"/>
    <w:rsid w:val="56AF6ADB"/>
    <w:rsid w:val="577C44E3"/>
    <w:rsid w:val="583059FA"/>
    <w:rsid w:val="609805E0"/>
    <w:rsid w:val="62E278F0"/>
    <w:rsid w:val="64DD4813"/>
    <w:rsid w:val="65C6799D"/>
    <w:rsid w:val="68A35D74"/>
    <w:rsid w:val="6A5F07A8"/>
    <w:rsid w:val="6DEF55B7"/>
    <w:rsid w:val="6E0A419F"/>
    <w:rsid w:val="6F7C2E7B"/>
    <w:rsid w:val="6F83245B"/>
    <w:rsid w:val="701B2694"/>
    <w:rsid w:val="720C2BDC"/>
    <w:rsid w:val="76F81981"/>
    <w:rsid w:val="784A1D68"/>
    <w:rsid w:val="78FA1C9A"/>
    <w:rsid w:val="79F842AA"/>
    <w:rsid w:val="7A74131E"/>
    <w:rsid w:val="7B1D7C08"/>
    <w:rsid w:val="7CA659DB"/>
    <w:rsid w:val="7EA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仿宋_GBK" w:hAnsi="方正仿宋_GBK" w:eastAsia="方正仿宋_GBK" w:cs="方正仿宋_GBK"/>
      <w:kern w:val="2"/>
      <w:sz w:val="28"/>
      <w:szCs w:val="28"/>
      <w:lang w:val="en-US" w:eastAsia="zh-CN" w:bidi="ar-SA"/>
    </w:rPr>
  </w:style>
  <w:style w:type="paragraph" w:styleId="2">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2833</Words>
  <Characters>2948</Characters>
  <Lines>0</Lines>
  <Paragraphs>0</Paragraphs>
  <TotalTime>65</TotalTime>
  <ScaleCrop>false</ScaleCrop>
  <LinksUpToDate>false</LinksUpToDate>
  <CharactersWithSpaces>2950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2026-11-02T12:41:00Z</dcterms:created>
  <dc:creator>罗力文</dc:creator>
  <cp:lastModifiedBy>罗力文</cp:lastModifiedBy>
  <dcterms:modified xsi:type="dcterms:W3CDTF">2026-11-03T00:41:07Z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29597E7BD9CF473CB9DD986AE20E77B3_11</vt:lpwstr>
  </property>
  <property fmtid="{D5CDD505-2E9C-101B-9397-08002B2CF9AE}" pid="4" name="KSOTemplateDocerSaveRecord">
    <vt:lpwstr>eyJoZGlkIjoiOTE3NTkzNGFjZmIxNzkyOTNkNmMwZmQyOTlmOTUwZWYiLCJ1c2VySWQiOiIxNTg5NzA1NjUzIn0=</vt:lpwstr>
  </property>
</Properties>
</file>