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F8DD60">
      <w:pPr>
        <w:bidi w:val="0"/>
        <w:jc w:val="center"/>
        <w:rPr>
          <w:rFonts w:hint="eastAsia" w:ascii="方正小标宋_GBK" w:hAnsi="方正小标宋_GBK" w:eastAsia="方正小标宋_GBK" w:cs="方正小标宋_GBK"/>
          <w:color w:val="000000" w:themeColor="text1"/>
          <w:sz w:val="44"/>
          <w:szCs w:val="44"/>
          <w14:textFill>
            <w14:solidFill>
              <w14:schemeClr w14:val="tx1"/>
            </w14:solidFill>
          </w14:textFill>
        </w:rPr>
      </w:pPr>
      <w:r>
        <w:rPr>
          <w:rFonts w:hint="eastAsia" w:ascii="方正小标宋_GBK" w:hAnsi="方正小标宋_GBK" w:eastAsia="方正小标宋_GBK" w:cs="方正小标宋_GBK"/>
          <w:color w:val="000000" w:themeColor="text1"/>
          <w:sz w:val="44"/>
          <w:szCs w:val="44"/>
          <w14:textFill>
            <w14:solidFill>
              <w14:schemeClr w14:val="tx1"/>
            </w14:solidFill>
          </w14:textFill>
        </w:rPr>
        <w:t>身份认证系统网络安全加固服务采购项目询价单</w:t>
      </w:r>
    </w:p>
    <w:p w14:paraId="3DE28AB8">
      <w:pPr>
        <w:pStyle w:val="16"/>
        <w:jc w:val="center"/>
        <w:rPr>
          <w:color w:val="000000" w:themeColor="text1"/>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（项目号：SISU26C00116）</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514"/>
        <w:gridCol w:w="1313"/>
        <w:gridCol w:w="803"/>
        <w:gridCol w:w="4633"/>
        <w:gridCol w:w="596"/>
        <w:gridCol w:w="996"/>
        <w:gridCol w:w="962"/>
      </w:tblGrid>
      <w:tr w14:paraId="699D0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16" w:hRule="atLeast"/>
        </w:trPr>
        <w:tc>
          <w:tcPr>
            <w:tcW w:w="514" w:type="dxa"/>
            <w:tcMar>
              <w:top w:w="60" w:type="dxa"/>
              <w:left w:w="120" w:type="dxa"/>
              <w:bottom w:w="30" w:type="dxa"/>
              <w:right w:w="120" w:type="dxa"/>
            </w:tcMar>
            <w:vAlign w:val="center"/>
          </w:tcPr>
          <w:p w14:paraId="2CDB8440">
            <w:pPr>
              <w:pStyle w:val="16"/>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序号</w:t>
            </w:r>
          </w:p>
        </w:tc>
        <w:tc>
          <w:tcPr>
            <w:tcW w:w="1313" w:type="dxa"/>
            <w:tcMar>
              <w:top w:w="60" w:type="dxa"/>
              <w:left w:w="120" w:type="dxa"/>
              <w:bottom w:w="30" w:type="dxa"/>
              <w:right w:w="120" w:type="dxa"/>
            </w:tcMar>
            <w:vAlign w:val="center"/>
          </w:tcPr>
          <w:p w14:paraId="685AD31A">
            <w:pPr>
              <w:pStyle w:val="16"/>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品名</w:t>
            </w:r>
          </w:p>
        </w:tc>
        <w:tc>
          <w:tcPr>
            <w:tcW w:w="803" w:type="dxa"/>
            <w:tcMar>
              <w:top w:w="60" w:type="dxa"/>
              <w:left w:w="120" w:type="dxa"/>
              <w:bottom w:w="30" w:type="dxa"/>
              <w:right w:w="120" w:type="dxa"/>
            </w:tcMar>
            <w:vAlign w:val="center"/>
          </w:tcPr>
          <w:p w14:paraId="016F1D69">
            <w:pPr>
              <w:pStyle w:val="16"/>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规格</w:t>
            </w:r>
          </w:p>
          <w:p w14:paraId="3405747F">
            <w:pPr>
              <w:pStyle w:val="16"/>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型号</w:t>
            </w:r>
          </w:p>
        </w:tc>
        <w:tc>
          <w:tcPr>
            <w:tcW w:w="4633" w:type="dxa"/>
            <w:tcMar>
              <w:top w:w="60" w:type="dxa"/>
              <w:left w:w="120" w:type="dxa"/>
              <w:bottom w:w="30" w:type="dxa"/>
              <w:right w:w="120" w:type="dxa"/>
            </w:tcMar>
            <w:vAlign w:val="center"/>
          </w:tcPr>
          <w:p w14:paraId="330D6F7E">
            <w:pPr>
              <w:pStyle w:val="16"/>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详细参数</w:t>
            </w:r>
          </w:p>
        </w:tc>
        <w:tc>
          <w:tcPr>
            <w:tcW w:w="596" w:type="dxa"/>
            <w:tcMar>
              <w:top w:w="60" w:type="dxa"/>
              <w:left w:w="120" w:type="dxa"/>
              <w:bottom w:w="30" w:type="dxa"/>
              <w:right w:w="120" w:type="dxa"/>
            </w:tcMar>
            <w:vAlign w:val="center"/>
          </w:tcPr>
          <w:p w14:paraId="276625FB">
            <w:pPr>
              <w:pStyle w:val="16"/>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数量</w:t>
            </w:r>
          </w:p>
        </w:tc>
        <w:tc>
          <w:tcPr>
            <w:tcW w:w="996" w:type="dxa"/>
            <w:tcMar>
              <w:top w:w="60" w:type="dxa"/>
              <w:left w:w="120" w:type="dxa"/>
              <w:bottom w:w="30" w:type="dxa"/>
              <w:right w:w="120" w:type="dxa"/>
            </w:tcMar>
            <w:vAlign w:val="center"/>
          </w:tcPr>
          <w:p w14:paraId="35A281CB">
            <w:pPr>
              <w:pStyle w:val="16"/>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单价（元）</w:t>
            </w:r>
          </w:p>
        </w:tc>
        <w:tc>
          <w:tcPr>
            <w:tcW w:w="962" w:type="dxa"/>
            <w:tcMar>
              <w:top w:w="60" w:type="dxa"/>
              <w:left w:w="120" w:type="dxa"/>
              <w:bottom w:w="30" w:type="dxa"/>
              <w:right w:w="120" w:type="dxa"/>
            </w:tcMar>
            <w:vAlign w:val="center"/>
          </w:tcPr>
          <w:p w14:paraId="1B6F7157">
            <w:pPr>
              <w:pStyle w:val="16"/>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小计（元）</w:t>
            </w:r>
          </w:p>
        </w:tc>
      </w:tr>
      <w:tr w14:paraId="0772A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41" w:hRule="atLeast"/>
        </w:trPr>
        <w:tc>
          <w:tcPr>
            <w:tcW w:w="514" w:type="dxa"/>
            <w:tcMar>
              <w:top w:w="60" w:type="dxa"/>
              <w:left w:w="120" w:type="dxa"/>
              <w:bottom w:w="30" w:type="dxa"/>
              <w:right w:w="120" w:type="dxa"/>
            </w:tcMar>
            <w:vAlign w:val="top"/>
          </w:tcPr>
          <w:p w14:paraId="683A448C">
            <w:pPr>
              <w:pStyle w:val="16"/>
              <w:jc w:val="center"/>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w:t>
            </w:r>
          </w:p>
        </w:tc>
        <w:tc>
          <w:tcPr>
            <w:tcW w:w="1313" w:type="dxa"/>
            <w:tcMar>
              <w:top w:w="60" w:type="dxa"/>
              <w:left w:w="120" w:type="dxa"/>
              <w:bottom w:w="30" w:type="dxa"/>
              <w:right w:w="120" w:type="dxa"/>
            </w:tcMar>
            <w:vAlign w:val="top"/>
          </w:tcPr>
          <w:p w14:paraId="570209DE">
            <w:pPr>
              <w:pStyle w:val="16"/>
              <w:jc w:val="cente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身份认证系统网络安全加固服务</w:t>
            </w:r>
          </w:p>
        </w:tc>
        <w:tc>
          <w:tcPr>
            <w:tcW w:w="803" w:type="dxa"/>
            <w:tcMar>
              <w:top w:w="60" w:type="dxa"/>
              <w:left w:w="120" w:type="dxa"/>
              <w:bottom w:w="30" w:type="dxa"/>
              <w:right w:w="120" w:type="dxa"/>
            </w:tcMar>
          </w:tcPr>
          <w:p w14:paraId="3AC90DB3">
            <w:pPr>
              <w:pStyle w:val="16"/>
              <w:jc w:val="cente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tc>
        <w:tc>
          <w:tcPr>
            <w:tcW w:w="4633" w:type="dxa"/>
            <w:tcMar>
              <w:top w:w="60" w:type="dxa"/>
              <w:left w:w="120" w:type="dxa"/>
              <w:bottom w:w="30" w:type="dxa"/>
              <w:right w:w="120" w:type="dxa"/>
            </w:tcMar>
          </w:tcPr>
          <w:p w14:paraId="3709192C">
            <w:pPr>
              <w:pStyle w:val="16"/>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jc w:val="both"/>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一、操作系统及中间件升级、系统迁移与安全加固服务</w:t>
            </w:r>
          </w:p>
          <w:p w14:paraId="2EFA3637">
            <w:pPr>
              <w:pStyle w:val="16"/>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jc w:val="both"/>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（一）现状调研与评估</w:t>
            </w:r>
          </w:p>
          <w:p w14:paraId="0A16949B">
            <w:pPr>
              <w:pStyle w:val="16"/>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jc w:val="both"/>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1.供应商须于进场后5个工作日内，完成现有身份认证系统的全量现状摸排与上云适配性评估，输出《系统现状评估与迁移实施方案》。报告内容须覆盖：系统架构拓扑、硬件配置清单、操作系统版本、全栈中间件版本、数据库版本、对外接口清单、业务数据规模、已知安全漏洞、上下游业务关联关系，以及华为云数据中心部署适配性分析。</w:t>
            </w:r>
          </w:p>
          <w:p w14:paraId="4FBE4EAA">
            <w:pPr>
              <w:pStyle w:val="16"/>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jc w:val="both"/>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2.针对系统整体迁移至学校新建华为云数据中心开展专项可行性论证，明确迁移实施路径、资源需求、实施成本与潜在风险，经校方确认后方可启动后续实施工作。</w:t>
            </w:r>
          </w:p>
          <w:p w14:paraId="2A27ED0C">
            <w:pPr>
              <w:pStyle w:val="16"/>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jc w:val="both"/>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（二）系统升级与迁移技术要求</w:t>
            </w:r>
          </w:p>
          <w:p w14:paraId="459A1C17">
            <w:pPr>
              <w:pStyle w:val="16"/>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jc w:val="both"/>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1.操作系统版本要求：升级后操作系统版本不低于openEuler22.03LTS SP3，适配华为云数据中心基础设施架构；</w:t>
            </w:r>
          </w:p>
          <w:p w14:paraId="4329671C">
            <w:pPr>
              <w:pStyle w:val="16"/>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jc w:val="both"/>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2.Web服务组件要求：Nginx版本不低于1.30.0稳定版，若使用OpenResty等衍生版本，需保证安全能力与功能等价；</w:t>
            </w:r>
          </w:p>
          <w:p w14:paraId="4328E0DF">
            <w:pPr>
              <w:pStyle w:val="16"/>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jc w:val="both"/>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3.全栈组件云环境部署：身份认证系统依赖的所有中间件组件（应用服务器、缓存中间件、数据库、目录服务、消息队列等）均需在华为云新环境部署为官方支持的稳定版本，无已知高危及以上漏洞；</w:t>
            </w:r>
          </w:p>
          <w:p w14:paraId="2806E364">
            <w:pPr>
              <w:pStyle w:val="16"/>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jc w:val="both"/>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4.全流程迁移要求：供应商负责完成华为云新环境部署、应用系统迁移、配置迁移、业务数据迁移、接口适配全流程工作；涉及第三方商用产品适配的，由供应商负责协调原厂技术支持，相关费用不包含在本次报价内。</w:t>
            </w:r>
          </w:p>
          <w:p w14:paraId="3B7EC6A7">
            <w:pPr>
              <w:pStyle w:val="16"/>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jc w:val="both"/>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（三）安全加固技术要求</w:t>
            </w:r>
          </w:p>
          <w:p w14:paraId="40DE89B0">
            <w:pPr>
              <w:pStyle w:val="16"/>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jc w:val="both"/>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1.加固依据标准：严格遵循《网络安全等级保护2.0三级要求》《openEuler操作系统安全加固基线》《Nginx安全配置规范》，针对华为云部署环境实施全链路安全加固；</w:t>
            </w:r>
          </w:p>
          <w:p w14:paraId="66438DE1">
            <w:pPr>
              <w:pStyle w:val="16"/>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jc w:val="both"/>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2.操作系统加固内容：包括但不限于账号口令策略配置、无用服务/端口卸载关闭、文件权限优化、审计日志开启、防火墙规则配置、内核安全参数优化、病毒防护部署；</w:t>
            </w:r>
          </w:p>
          <w:p w14:paraId="3A898040">
            <w:pPr>
              <w:pStyle w:val="16"/>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jc w:val="both"/>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3.中间件加固内容：包括但不限于隐藏版本信息、禁用不安全方法、访问权限控制、连接数限制、日志审计配置、安全头配置；</w:t>
            </w:r>
          </w:p>
          <w:p w14:paraId="2573397D">
            <w:pPr>
              <w:pStyle w:val="16"/>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jc w:val="both"/>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4.加固验证要求：加固完成后出具《安全加固报告》，经学校安全服务公司验证，无高危及以上漏洞，中危漏洞不超过2个。</w:t>
            </w:r>
          </w:p>
          <w:p w14:paraId="01990957">
            <w:pPr>
              <w:pStyle w:val="16"/>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jc w:val="both"/>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（四）数据迁移与业务连续性要求</w:t>
            </w:r>
          </w:p>
          <w:p w14:paraId="5595F128">
            <w:pPr>
              <w:pStyle w:val="16"/>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jc w:val="both"/>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1.数据完整性要求：迁移前后用户数据、配置数据、业务日志100%一致，出具《数据一致性校验报告》；</w:t>
            </w:r>
          </w:p>
          <w:p w14:paraId="3F1DB3CE">
            <w:pPr>
              <w:pStyle w:val="16"/>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jc w:val="both"/>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2.割接时间要求：系统割接需安排在假期或凌晨0:00-6:00业务低峰期，单次停机割接时长不超过4小时；</w:t>
            </w:r>
          </w:p>
          <w:p w14:paraId="5D8DABB0">
            <w:pPr>
              <w:pStyle w:val="16"/>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jc w:val="both"/>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3.回退机制要求：制定完整可落地的回退预案，明确回退触发条件、操作步骤与时间阈值，迁移失败需在30分钟内启动回退，2小时内恢复原系统正常运行；</w:t>
            </w:r>
          </w:p>
          <w:p w14:paraId="656B5D55">
            <w:pPr>
              <w:pStyle w:val="16"/>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jc w:val="both"/>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4.备份要求：迁移前完成全量数据备份+配置备份，备份数据异地存放，备份保留至项目终验后3个月。</w:t>
            </w:r>
          </w:p>
          <w:p w14:paraId="7FB8D696">
            <w:pPr>
              <w:pStyle w:val="16"/>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jc w:val="both"/>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二、HTTPS安全改造服务</w:t>
            </w:r>
          </w:p>
          <w:p w14:paraId="6FBCCD6C">
            <w:pPr>
              <w:pStyle w:val="16"/>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jc w:val="both"/>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（一）改造范围要求</w:t>
            </w:r>
          </w:p>
          <w:p w14:paraId="0A1F5CCB">
            <w:pPr>
              <w:pStyle w:val="16"/>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jc w:val="both"/>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实现身份认证系统全服务端口HTTPS改造，覆盖：用户Web端、管理员后台、所有API对接接口、移动端SDK接口，实现访问、登录、认证、对接全链路数据加密传输。</w:t>
            </w:r>
          </w:p>
          <w:p w14:paraId="01E85D21">
            <w:pPr>
              <w:pStyle w:val="16"/>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jc w:val="both"/>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（二）安全配置技术标准</w:t>
            </w:r>
          </w:p>
          <w:p w14:paraId="1D319D1B">
            <w:pPr>
              <w:pStyle w:val="16"/>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jc w:val="both"/>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1.协议与加密要求：禁用SSLv3、TLS1.0、TLS1.1协议，仅支持TLS1.2及以上版本；支持国密SM2/SM3/SM4加密套件，兼容主流终端与浏览器；</w:t>
            </w:r>
          </w:p>
          <w:p w14:paraId="156F620A">
            <w:pPr>
              <w:pStyle w:val="16"/>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jc w:val="both"/>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2.安全增强配置：强制开启HSTS（HTTP严格传输安全），配置HTTP请求自动301跳转至HTTPS，禁用TRACE/TRACK等不安全HTTP方法；</w:t>
            </w:r>
          </w:p>
          <w:p w14:paraId="0BA45434">
            <w:pPr>
              <w:pStyle w:val="16"/>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jc w:val="both"/>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3.证书部署要求：校方提供SSL数字证书，供应商负责证书部署、配置更新、有效期监控；验收后1年内提供1次免费证书更换技术支持。</w:t>
            </w:r>
          </w:p>
          <w:p w14:paraId="25BC6D75">
            <w:pPr>
              <w:pStyle w:val="16"/>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jc w:val="both"/>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（三）兼容性与测试要求</w:t>
            </w:r>
          </w:p>
          <w:p w14:paraId="1F4C4C7B">
            <w:pPr>
              <w:pStyle w:val="16"/>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jc w:val="both"/>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1.终端兼容性：覆盖Windows、macOS、iOS、Android等校内主流终端，以及Chrome、Edge、微信内置浏览器等主流环境，无功能异常、无混合内容警告；</w:t>
            </w:r>
          </w:p>
          <w:p w14:paraId="1161865F">
            <w:pPr>
              <w:pStyle w:val="16"/>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jc w:val="both"/>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2.业务场景验证：覆盖用户登录、单点登出、密码找回、系统对接等所有认证场景，确保业务功能正常。</w:t>
            </w:r>
          </w:p>
        </w:tc>
        <w:tc>
          <w:tcPr>
            <w:tcW w:w="596" w:type="dxa"/>
            <w:tcMar>
              <w:top w:w="60" w:type="dxa"/>
              <w:left w:w="120" w:type="dxa"/>
              <w:bottom w:w="30" w:type="dxa"/>
              <w:right w:w="120" w:type="dxa"/>
            </w:tcMar>
            <w:vAlign w:val="top"/>
          </w:tcPr>
          <w:p w14:paraId="61FE54A5">
            <w:pPr>
              <w:pStyle w:val="16"/>
              <w:jc w:val="cente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1</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w:t>
            </w:r>
          </w:p>
        </w:tc>
        <w:tc>
          <w:tcPr>
            <w:tcW w:w="996" w:type="dxa"/>
            <w:tcMar>
              <w:top w:w="60" w:type="dxa"/>
              <w:left w:w="120" w:type="dxa"/>
              <w:bottom w:w="30" w:type="dxa"/>
              <w:right w:w="120" w:type="dxa"/>
            </w:tcMar>
          </w:tcPr>
          <w:p w14:paraId="77A2B71E">
            <w:pPr>
              <w:pStyle w:val="16"/>
              <w:jc w:val="cente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p>
        </w:tc>
        <w:tc>
          <w:tcPr>
            <w:tcW w:w="962" w:type="dxa"/>
            <w:tcMar>
              <w:top w:w="60" w:type="dxa"/>
              <w:left w:w="120" w:type="dxa"/>
              <w:bottom w:w="30" w:type="dxa"/>
              <w:right w:w="120" w:type="dxa"/>
            </w:tcMar>
          </w:tcPr>
          <w:p w14:paraId="6DAFA99D">
            <w:pPr>
              <w:pStyle w:val="16"/>
              <w:jc w:val="cente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p>
        </w:tc>
      </w:tr>
      <w:tr w14:paraId="24EAF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trPr>
        <w:tc>
          <w:tcPr>
            <w:tcW w:w="1827" w:type="dxa"/>
            <w:gridSpan w:val="2"/>
            <w:tcMar>
              <w:top w:w="60" w:type="dxa"/>
              <w:left w:w="120" w:type="dxa"/>
              <w:bottom w:w="30" w:type="dxa"/>
              <w:right w:w="120" w:type="dxa"/>
            </w:tcMar>
            <w:vAlign w:val="center"/>
          </w:tcPr>
          <w:p w14:paraId="14BC54C6">
            <w:pPr>
              <w:pStyle w:val="16"/>
              <w:jc w:val="center"/>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合计小写</w:t>
            </w:r>
          </w:p>
        </w:tc>
        <w:tc>
          <w:tcPr>
            <w:tcW w:w="7990" w:type="dxa"/>
            <w:gridSpan w:val="5"/>
            <w:tcMar>
              <w:top w:w="60" w:type="dxa"/>
              <w:left w:w="120" w:type="dxa"/>
              <w:bottom w:w="30" w:type="dxa"/>
              <w:right w:w="120" w:type="dxa"/>
            </w:tcMar>
            <w:vAlign w:val="center"/>
          </w:tcPr>
          <w:p w14:paraId="4B34D9AB">
            <w:pPr>
              <w:pStyle w:val="16"/>
              <w:jc w:val="left"/>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p>
        </w:tc>
      </w:tr>
      <w:tr w14:paraId="1C9B4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trPr>
        <w:tc>
          <w:tcPr>
            <w:tcW w:w="1827" w:type="dxa"/>
            <w:gridSpan w:val="2"/>
            <w:tcMar>
              <w:top w:w="60" w:type="dxa"/>
              <w:left w:w="120" w:type="dxa"/>
              <w:bottom w:w="30" w:type="dxa"/>
              <w:right w:w="120" w:type="dxa"/>
            </w:tcMar>
            <w:vAlign w:val="center"/>
          </w:tcPr>
          <w:p w14:paraId="52EEDFAE">
            <w:pPr>
              <w:pStyle w:val="16"/>
              <w:jc w:val="center"/>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合计大写</w:t>
            </w:r>
          </w:p>
        </w:tc>
        <w:tc>
          <w:tcPr>
            <w:tcW w:w="7990" w:type="dxa"/>
            <w:gridSpan w:val="5"/>
            <w:tcMar>
              <w:top w:w="60" w:type="dxa"/>
              <w:left w:w="120" w:type="dxa"/>
              <w:bottom w:w="30" w:type="dxa"/>
              <w:right w:w="120" w:type="dxa"/>
            </w:tcMar>
            <w:vAlign w:val="center"/>
          </w:tcPr>
          <w:p w14:paraId="60414ED6">
            <w:pPr>
              <w:pStyle w:val="16"/>
              <w:jc w:val="left"/>
              <w:rPr>
                <w:rFonts w:hint="eastAsia" w:ascii="方正仿宋_GBK" w:hAnsi="方正仿宋_GBK" w:eastAsia="方正仿宋_GBK" w:cs="方正仿宋_GBK"/>
                <w:color w:val="000000" w:themeColor="text1"/>
                <w:sz w:val="24"/>
                <w:szCs w:val="24"/>
                <w14:textFill>
                  <w14:solidFill>
                    <w14:schemeClr w14:val="tx1"/>
                  </w14:solidFill>
                </w14:textFill>
              </w:rPr>
            </w:pPr>
          </w:p>
        </w:tc>
      </w:tr>
      <w:tr w14:paraId="2D378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850" w:hRule="atLeast"/>
        </w:trPr>
        <w:tc>
          <w:tcPr>
            <w:tcW w:w="9817" w:type="dxa"/>
            <w:gridSpan w:val="7"/>
            <w:tcMar>
              <w:top w:w="60" w:type="dxa"/>
              <w:left w:w="120" w:type="dxa"/>
              <w:bottom w:w="30" w:type="dxa"/>
              <w:right w:w="120" w:type="dxa"/>
            </w:tcMar>
            <w:vAlign w:val="center"/>
          </w:tcPr>
          <w:p w14:paraId="1DAB0878">
            <w:pPr>
              <w:pStyle w:val="16"/>
              <w:tabs>
                <w:tab w:val="left" w:pos="5680"/>
              </w:tabs>
              <w:jc w:val="lef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报价单位（盖章）：</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ab/>
            </w:r>
            <w:r>
              <w:rPr>
                <w:rFonts w:hint="eastAsia" w:ascii="方正仿宋_GBK" w:hAnsi="方正仿宋_GBK" w:eastAsia="方正仿宋_GBK" w:cs="方正仿宋_GBK"/>
                <w:color w:val="000000" w:themeColor="text1"/>
                <w:sz w:val="24"/>
                <w:szCs w:val="24"/>
                <w14:textFill>
                  <w14:solidFill>
                    <w14:schemeClr w14:val="tx1"/>
                  </w14:solidFill>
                </w14:textFill>
              </w:rPr>
              <w:t>报价时间：</w:t>
            </w:r>
          </w:p>
          <w:p w14:paraId="1D2D54C2">
            <w:pPr>
              <w:pStyle w:val="16"/>
              <w:tabs>
                <w:tab w:val="left" w:pos="5680"/>
              </w:tabs>
              <w:jc w:val="left"/>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联系人：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ab/>
            </w:r>
            <w:r>
              <w:rPr>
                <w:rFonts w:hint="eastAsia" w:ascii="方正仿宋_GBK" w:hAnsi="方正仿宋_GBK" w:eastAsia="方正仿宋_GBK" w:cs="方正仿宋_GBK"/>
                <w:color w:val="000000" w:themeColor="text1"/>
                <w:sz w:val="24"/>
                <w:szCs w:val="24"/>
                <w14:textFill>
                  <w14:solidFill>
                    <w14:schemeClr w14:val="tx1"/>
                  </w14:solidFill>
                </w14:textFill>
              </w:rPr>
              <w:t>联系电话：</w:t>
            </w:r>
          </w:p>
        </w:tc>
      </w:tr>
    </w:tbl>
    <w:p w14:paraId="6A317B5F">
      <w:pPr>
        <w:rPr>
          <w:color w:val="000000" w:themeColor="text1"/>
          <w14:textFill>
            <w14:solidFill>
              <w14:schemeClr w14:val="tx1"/>
            </w14:solidFill>
          </w14:textFill>
        </w:rPr>
      </w:pPr>
      <w:r>
        <w:rPr>
          <w:color w:val="000000" w:themeColor="text1"/>
          <w14:textFill>
            <w14:solidFill>
              <w14:schemeClr w14:val="tx1"/>
            </w14:solidFill>
          </w14:textFill>
        </w:rPr>
        <w:br w:type="page"/>
      </w:r>
    </w:p>
    <w:p w14:paraId="04F5936D">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一、供应商资格条件</w:t>
      </w:r>
    </w:p>
    <w:p w14:paraId="334524CE">
      <w:pPr>
        <w:pStyle w:val="16"/>
        <w:keepNext w:val="0"/>
        <w:keepLines w:val="0"/>
        <w:pageBreakBefore w:val="0"/>
        <w:widowControl/>
        <w:numPr>
          <w:ilvl w:val="0"/>
          <w:numId w:val="1"/>
        </w:numPr>
        <w:kinsoku/>
        <w:wordWrap/>
        <w:overflowPunct/>
        <w:topLinePunct w:val="0"/>
        <w:autoSpaceDE/>
        <w:autoSpaceDN/>
        <w:bidi w:val="0"/>
        <w:adjustRightInd/>
        <w:snapToGrid/>
        <w:spacing w:line="240" w:lineRule="auto"/>
        <w:ind w:left="567" w:leftChars="0" w:hanging="284"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具有独立承担民事责任的能力，具备合法有效的营业执照；</w:t>
      </w:r>
    </w:p>
    <w:p w14:paraId="59C749A5">
      <w:pPr>
        <w:pStyle w:val="16"/>
        <w:keepNext w:val="0"/>
        <w:keepLines w:val="0"/>
        <w:pageBreakBefore w:val="0"/>
        <w:widowControl/>
        <w:numPr>
          <w:ilvl w:val="0"/>
          <w:numId w:val="1"/>
        </w:numPr>
        <w:kinsoku/>
        <w:wordWrap/>
        <w:overflowPunct/>
        <w:topLinePunct w:val="0"/>
        <w:autoSpaceDE/>
        <w:autoSpaceDN/>
        <w:bidi w:val="0"/>
        <w:adjustRightInd/>
        <w:snapToGrid/>
        <w:spacing w:line="240" w:lineRule="auto"/>
        <w:ind w:left="567" w:leftChars="0" w:hanging="284"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具有良好的商业信誉和健全的财务会计制度；</w:t>
      </w:r>
    </w:p>
    <w:p w14:paraId="189B04D5">
      <w:pPr>
        <w:pStyle w:val="16"/>
        <w:keepNext w:val="0"/>
        <w:keepLines w:val="0"/>
        <w:pageBreakBefore w:val="0"/>
        <w:widowControl/>
        <w:numPr>
          <w:ilvl w:val="0"/>
          <w:numId w:val="1"/>
        </w:numPr>
        <w:kinsoku/>
        <w:wordWrap/>
        <w:overflowPunct/>
        <w:topLinePunct w:val="0"/>
        <w:autoSpaceDE/>
        <w:autoSpaceDN/>
        <w:bidi w:val="0"/>
        <w:adjustRightInd/>
        <w:snapToGrid/>
        <w:spacing w:line="240" w:lineRule="auto"/>
        <w:ind w:left="567" w:leftChars="0" w:hanging="284"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具有履行合同所必需的技术服务能力、项目实施团队及售后服务能力；</w:t>
      </w:r>
    </w:p>
    <w:p w14:paraId="30F8EC69">
      <w:pPr>
        <w:pStyle w:val="16"/>
        <w:keepNext w:val="0"/>
        <w:keepLines w:val="0"/>
        <w:pageBreakBefore w:val="0"/>
        <w:widowControl/>
        <w:numPr>
          <w:ilvl w:val="0"/>
          <w:numId w:val="1"/>
        </w:numPr>
        <w:kinsoku/>
        <w:wordWrap/>
        <w:overflowPunct/>
        <w:topLinePunct w:val="0"/>
        <w:autoSpaceDE/>
        <w:autoSpaceDN/>
        <w:bidi w:val="0"/>
        <w:adjustRightInd/>
        <w:snapToGrid/>
        <w:spacing w:line="240" w:lineRule="auto"/>
        <w:ind w:left="567" w:leftChars="0" w:hanging="284"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有依法缴纳税收和社会保障资金的良好记录；</w:t>
      </w:r>
    </w:p>
    <w:p w14:paraId="5C12176A">
      <w:pPr>
        <w:pStyle w:val="16"/>
        <w:keepNext w:val="0"/>
        <w:keepLines w:val="0"/>
        <w:pageBreakBefore w:val="0"/>
        <w:widowControl/>
        <w:numPr>
          <w:ilvl w:val="0"/>
          <w:numId w:val="1"/>
        </w:numPr>
        <w:kinsoku/>
        <w:wordWrap/>
        <w:overflowPunct/>
        <w:topLinePunct w:val="0"/>
        <w:autoSpaceDE/>
        <w:autoSpaceDN/>
        <w:bidi w:val="0"/>
        <w:adjustRightInd/>
        <w:snapToGrid/>
        <w:spacing w:line="240" w:lineRule="auto"/>
        <w:ind w:left="567" w:leftChars="0" w:hanging="284"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参加政府采购活动前三年内，在经营活动中没有重大违法记录；</w:t>
      </w:r>
    </w:p>
    <w:p w14:paraId="3664DA83">
      <w:pPr>
        <w:pStyle w:val="16"/>
        <w:keepNext w:val="0"/>
        <w:keepLines w:val="0"/>
        <w:pageBreakBefore w:val="0"/>
        <w:widowControl/>
        <w:numPr>
          <w:ilvl w:val="0"/>
          <w:numId w:val="1"/>
        </w:numPr>
        <w:kinsoku/>
        <w:wordWrap/>
        <w:overflowPunct/>
        <w:topLinePunct w:val="0"/>
        <w:autoSpaceDE/>
        <w:autoSpaceDN/>
        <w:bidi w:val="0"/>
        <w:adjustRightInd/>
        <w:snapToGrid/>
        <w:spacing w:line="240" w:lineRule="auto"/>
        <w:ind w:left="567" w:leftChars="0" w:hanging="284"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拥有高校统一身份认证系统</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设计开发、</w:t>
      </w:r>
      <w:r>
        <w:rPr>
          <w:rFonts w:hint="eastAsia" w:ascii="方正仿宋_GBK" w:hAnsi="方正仿宋_GBK" w:eastAsia="方正仿宋_GBK" w:cs="方正仿宋_GBK"/>
          <w:color w:val="000000" w:themeColor="text1"/>
          <w:sz w:val="32"/>
          <w:szCs w:val="32"/>
          <w14:textFill>
            <w14:solidFill>
              <w14:schemeClr w14:val="tx1"/>
            </w14:solidFill>
          </w14:textFill>
        </w:rPr>
        <w:t>迁移、网络安全加固项目实施经验者优先；</w:t>
      </w:r>
    </w:p>
    <w:p w14:paraId="3DF64A69">
      <w:pPr>
        <w:pStyle w:val="16"/>
        <w:keepNext w:val="0"/>
        <w:keepLines w:val="0"/>
        <w:pageBreakBefore w:val="0"/>
        <w:widowControl/>
        <w:numPr>
          <w:ilvl w:val="0"/>
          <w:numId w:val="1"/>
        </w:numPr>
        <w:kinsoku/>
        <w:wordWrap/>
        <w:overflowPunct/>
        <w:topLinePunct w:val="0"/>
        <w:autoSpaceDE/>
        <w:autoSpaceDN/>
        <w:bidi w:val="0"/>
        <w:adjustRightInd/>
        <w:snapToGrid/>
        <w:spacing w:line="240" w:lineRule="auto"/>
        <w:ind w:left="567" w:leftChars="0" w:hanging="284"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项目负责人须具有3年以上高校统一身份认证系统实施经验，具备云环境迁移与网络安全加固项目管理能力；核心技术人员须熟悉等保三级合规要求、openEuler系统加固及华为云部署规范</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w:t>
      </w:r>
    </w:p>
    <w:p w14:paraId="05764187">
      <w:pPr>
        <w:pStyle w:val="16"/>
        <w:keepNext w:val="0"/>
        <w:keepLines w:val="0"/>
        <w:pageBreakBefore w:val="0"/>
        <w:widowControl/>
        <w:numPr>
          <w:ilvl w:val="0"/>
          <w:numId w:val="1"/>
        </w:numPr>
        <w:kinsoku/>
        <w:wordWrap/>
        <w:overflowPunct/>
        <w:topLinePunct w:val="0"/>
        <w:autoSpaceDE/>
        <w:autoSpaceDN/>
        <w:bidi w:val="0"/>
        <w:adjustRightInd/>
        <w:snapToGrid/>
        <w:spacing w:line="240" w:lineRule="auto"/>
        <w:ind w:left="567" w:leftChars="0" w:hanging="284"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法律、行政法规规定的其他条件。</w:t>
      </w:r>
    </w:p>
    <w:p w14:paraId="617450F3">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二、成交原则</w:t>
      </w:r>
    </w:p>
    <w:p w14:paraId="559C7421">
      <w:pPr>
        <w:pStyle w:val="16"/>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满足本询价文件全部实质性技术与商务要求、资格资质合格且报价最低的供应商为成交供应商；若报价相同，由采购人根据技术方案完整性、项目团队经验、售后服务能力综合评定。</w:t>
      </w:r>
    </w:p>
    <w:p w14:paraId="71D7F883">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三、项目交付周期</w:t>
      </w:r>
    </w:p>
    <w:p w14:paraId="744DE306">
      <w:pPr>
        <w:pStyle w:val="16"/>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自合同签订之日起30日历天内完成全部工作，包括现状调研评估、华为云环境部署、系统迁移、安全加固、HTTPS改造、测试验证及验收交付，各阶段进度须符合经校方确认的《系统现状评估与迁移实施方案》约定的节点要求。</w:t>
      </w:r>
    </w:p>
    <w:p w14:paraId="7ABD1527">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四、项目实施地点</w:t>
      </w:r>
    </w:p>
    <w:p w14:paraId="5BB6DCC6">
      <w:pPr>
        <w:pStyle w:val="16"/>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四川外国语大学校内及学校新建华为云数据中心，具体工作区域由采购人指定。</w:t>
      </w:r>
    </w:p>
    <w:p w14:paraId="52271152">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五、验收方式</w:t>
      </w:r>
    </w:p>
    <w:p w14:paraId="68C5C4DE">
      <w:pPr>
        <w:pStyle w:val="16"/>
        <w:keepNext w:val="0"/>
        <w:keepLines w:val="0"/>
        <w:pageBreakBefore w:val="0"/>
        <w:widowControl/>
        <w:numPr>
          <w:ilvl w:val="0"/>
          <w:numId w:val="2"/>
        </w:numPr>
        <w:kinsoku/>
        <w:wordWrap/>
        <w:overflowPunct/>
        <w:topLinePunct w:val="0"/>
        <w:autoSpaceDE/>
        <w:autoSpaceDN/>
        <w:bidi w:val="0"/>
        <w:adjustRightInd/>
        <w:snapToGrid/>
        <w:spacing w:line="240" w:lineRule="auto"/>
        <w:ind w:left="567" w:leftChars="0" w:hanging="284"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32"/>
          <w:szCs w:val="32"/>
          <w14:textFill>
            <w14:solidFill>
              <w14:schemeClr w14:val="tx1"/>
            </w14:solidFill>
          </w14:textFill>
        </w:rPr>
        <w:t>交付物核验：供应商提交全部项目文档，包括《系统现状评估与迁移实施方案》《安全加固报告》《数据一致性校验报告》《HTTPS改造验证报告》、回退预案、全程操作日志等，文档齐全且内容符合要求。</w:t>
      </w:r>
    </w:p>
    <w:p w14:paraId="6FF2CA8B">
      <w:pPr>
        <w:pStyle w:val="16"/>
        <w:keepNext w:val="0"/>
        <w:keepLines w:val="0"/>
        <w:pageBreakBefore w:val="0"/>
        <w:widowControl/>
        <w:numPr>
          <w:ilvl w:val="0"/>
          <w:numId w:val="2"/>
        </w:numPr>
        <w:kinsoku/>
        <w:wordWrap/>
        <w:overflowPunct/>
        <w:topLinePunct w:val="0"/>
        <w:autoSpaceDE/>
        <w:autoSpaceDN/>
        <w:bidi w:val="0"/>
        <w:adjustRightInd/>
        <w:snapToGrid/>
        <w:spacing w:line="240" w:lineRule="auto"/>
        <w:ind w:left="567" w:leftChars="0" w:hanging="284"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 xml:space="preserve"> 功能与安全验证：系统迁移至华为云后运行稳定，所有认证业务场景功能正常；HTTPS改造全链路生效，兼容校内主流终端与浏览器；安全加固效果经学校指定的安全服务机构验证，无高危及以上漏洞，中危漏洞不超过2个。</w:t>
      </w:r>
    </w:p>
    <w:p w14:paraId="7789944E">
      <w:pPr>
        <w:pStyle w:val="16"/>
        <w:keepNext w:val="0"/>
        <w:keepLines w:val="0"/>
        <w:pageBreakBefore w:val="0"/>
        <w:widowControl/>
        <w:numPr>
          <w:ilvl w:val="0"/>
          <w:numId w:val="2"/>
        </w:numPr>
        <w:kinsoku/>
        <w:wordWrap/>
        <w:overflowPunct/>
        <w:topLinePunct w:val="0"/>
        <w:autoSpaceDE/>
        <w:autoSpaceDN/>
        <w:bidi w:val="0"/>
        <w:adjustRightInd/>
        <w:snapToGrid/>
        <w:spacing w:line="240" w:lineRule="auto"/>
        <w:ind w:left="567" w:leftChars="0" w:hanging="284"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 xml:space="preserve"> 试运行验证：系统割接上线后连续试运行7天，业务运行稳定、无重大故障后，组织最终验收。</w:t>
      </w:r>
    </w:p>
    <w:p w14:paraId="522EFD8D">
      <w:pPr>
        <w:pStyle w:val="16"/>
        <w:keepNext w:val="0"/>
        <w:keepLines w:val="0"/>
        <w:pageBreakBefore w:val="0"/>
        <w:widowControl/>
        <w:numPr>
          <w:ilvl w:val="0"/>
          <w:numId w:val="2"/>
        </w:numPr>
        <w:kinsoku/>
        <w:wordWrap/>
        <w:overflowPunct/>
        <w:topLinePunct w:val="0"/>
        <w:autoSpaceDE/>
        <w:autoSpaceDN/>
        <w:bidi w:val="0"/>
        <w:adjustRightInd/>
        <w:snapToGrid/>
        <w:spacing w:line="240" w:lineRule="auto"/>
        <w:ind w:left="567" w:leftChars="0" w:hanging="284"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32"/>
          <w:szCs w:val="32"/>
          <w14:textFill>
            <w14:solidFill>
              <w14:schemeClr w14:val="tx1"/>
            </w14:solidFill>
          </w14:textFill>
        </w:rPr>
        <w:t>验收合格后，双方共同签署项目验收单；若验收不合格，供应商须在3个工作日内完成整改，直至验收合格，逾期产生的损失由供应商承担。</w:t>
      </w:r>
    </w:p>
    <w:p w14:paraId="42D89E36">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六、质保要求</w:t>
      </w:r>
    </w:p>
    <w:p w14:paraId="17F5CD23">
      <w:pPr>
        <w:pStyle w:val="16"/>
        <w:keepNext w:val="0"/>
        <w:keepLines w:val="0"/>
        <w:pageBreakBefore w:val="0"/>
        <w:widowControl/>
        <w:numPr>
          <w:ilvl w:val="0"/>
          <w:numId w:val="3"/>
        </w:numPr>
        <w:kinsoku/>
        <w:wordWrap/>
        <w:overflowPunct/>
        <w:topLinePunct w:val="0"/>
        <w:autoSpaceDE/>
        <w:autoSpaceDN/>
        <w:bidi w:val="0"/>
        <w:adjustRightInd/>
        <w:snapToGrid/>
        <w:spacing w:line="240" w:lineRule="auto"/>
        <w:ind w:left="567" w:leftChars="0" w:hanging="284"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 xml:space="preserve"> 本项目整体服务质保期为1年，自项目验收合格之日起计算。</w:t>
      </w:r>
    </w:p>
    <w:p w14:paraId="59BA4C7C">
      <w:pPr>
        <w:pStyle w:val="16"/>
        <w:keepNext w:val="0"/>
        <w:keepLines w:val="0"/>
        <w:pageBreakBefore w:val="0"/>
        <w:widowControl/>
        <w:numPr>
          <w:ilvl w:val="0"/>
          <w:numId w:val="3"/>
        </w:numPr>
        <w:kinsoku/>
        <w:wordWrap/>
        <w:overflowPunct/>
        <w:topLinePunct w:val="0"/>
        <w:autoSpaceDE/>
        <w:autoSpaceDN/>
        <w:bidi w:val="0"/>
        <w:adjustRightInd/>
        <w:snapToGrid/>
        <w:spacing w:line="240" w:lineRule="auto"/>
        <w:ind w:left="567" w:leftChars="0" w:hanging="284"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 xml:space="preserve"> 质保期内，若系统出现迁移相关故障、安全配置异常、HTTPS证书配置问题，供应商须在接到通知后2小时内响应，4小时内提供远程技术支持，24小时内到场排查处理，确保系统恢复正常运行。</w:t>
      </w:r>
    </w:p>
    <w:p w14:paraId="0F4F7EBE">
      <w:pPr>
        <w:pStyle w:val="16"/>
        <w:keepNext w:val="0"/>
        <w:keepLines w:val="0"/>
        <w:pageBreakBefore w:val="0"/>
        <w:widowControl/>
        <w:numPr>
          <w:ilvl w:val="0"/>
          <w:numId w:val="3"/>
        </w:numPr>
        <w:kinsoku/>
        <w:wordWrap/>
        <w:overflowPunct/>
        <w:topLinePunct w:val="0"/>
        <w:autoSpaceDE/>
        <w:autoSpaceDN/>
        <w:bidi w:val="0"/>
        <w:adjustRightInd/>
        <w:snapToGrid/>
        <w:spacing w:line="240" w:lineRule="auto"/>
        <w:ind w:left="567" w:leftChars="0" w:hanging="284"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 xml:space="preserve"> 质保期内提供免费技术支持服务，包含系统安全配置巡检、漏洞修复指导、1次免费证书更换技术支持，不产生额外费用。</w:t>
      </w:r>
    </w:p>
    <w:p w14:paraId="79181838">
      <w:pPr>
        <w:pStyle w:val="16"/>
        <w:keepNext w:val="0"/>
        <w:keepLines w:val="0"/>
        <w:pageBreakBefore w:val="0"/>
        <w:widowControl/>
        <w:numPr>
          <w:ilvl w:val="0"/>
          <w:numId w:val="3"/>
        </w:numPr>
        <w:kinsoku/>
        <w:wordWrap/>
        <w:overflowPunct/>
        <w:topLinePunct w:val="0"/>
        <w:autoSpaceDE/>
        <w:autoSpaceDN/>
        <w:bidi w:val="0"/>
        <w:adjustRightInd/>
        <w:snapToGrid/>
        <w:spacing w:line="240" w:lineRule="auto"/>
        <w:ind w:left="567" w:leftChars="0" w:hanging="284" w:firstLineChars="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 xml:space="preserve"> 质保期内非校方人为操作导致的系统故障、配置异常，全部由供应商免费排查修复。</w:t>
      </w:r>
    </w:p>
    <w:p w14:paraId="0ACF492C">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七、付款方式</w:t>
      </w:r>
    </w:p>
    <w:p w14:paraId="0F6CE189">
      <w:pPr>
        <w:pStyle w:val="16"/>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项目全部实施完成并验收合格后，供应商开具全额增值税发票，采购人以转账方式支付合同总金额的100%。</w:t>
      </w:r>
    </w:p>
    <w:p w14:paraId="38DE3BAF">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b w:val="0"/>
          <w:bCs w:val="0"/>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八</w:t>
      </w:r>
      <w:r>
        <w:rPr>
          <w:rFonts w:hint="eastAsia" w:ascii="方正仿宋_GBK" w:hAnsi="方正仿宋_GBK" w:eastAsia="方正仿宋_GBK" w:cs="方正仿宋_GBK"/>
          <w:color w:val="000000" w:themeColor="text1"/>
          <w:sz w:val="32"/>
          <w:szCs w:val="32"/>
          <w14:textFill>
            <w14:solidFill>
              <w14:schemeClr w14:val="tx1"/>
            </w14:solidFill>
          </w14:textFill>
        </w:rPr>
        <w:t>、</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补充说明</w:t>
      </w:r>
    </w:p>
    <w:p w14:paraId="48C91022">
      <w:pPr>
        <w:pStyle w:val="16"/>
        <w:keepNext w:val="0"/>
        <w:keepLines w:val="0"/>
        <w:pageBreakBefore w:val="0"/>
        <w:widowControl/>
        <w:numPr>
          <w:ilvl w:val="0"/>
          <w:numId w:val="4"/>
        </w:numPr>
        <w:kinsoku/>
        <w:wordWrap/>
        <w:overflowPunct/>
        <w:topLinePunct w:val="0"/>
        <w:autoSpaceDE/>
        <w:autoSpaceDN/>
        <w:bidi w:val="0"/>
        <w:adjustRightInd/>
        <w:snapToGrid/>
        <w:spacing w:line="240" w:lineRule="auto"/>
        <w:ind w:left="567" w:leftChars="0" w:hanging="284" w:firstLineChars="0"/>
        <w:textAlignment w:val="auto"/>
        <w:rPr>
          <w:rFonts w:hint="eastAsia" w:ascii="方正仿宋_GBK" w:hAnsi="方正仿宋_GBK" w:eastAsia="方正仿宋_GBK" w:cs="方正仿宋_GBK"/>
          <w:b w:val="0"/>
          <w:bCs w:val="0"/>
          <w:color w:val="000000" w:themeColor="text1"/>
          <w:sz w:val="32"/>
          <w:szCs w:val="32"/>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14:textFill>
            <w14:solidFill>
              <w14:schemeClr w14:val="tx1"/>
            </w14:solidFill>
          </w14:textFill>
        </w:rPr>
        <w:t>本项目最高限价4</w:t>
      </w:r>
      <w:r>
        <w:rPr>
          <w:rFonts w:hint="eastAsia" w:ascii="方正仿宋_GBK" w:hAnsi="方正仿宋_GBK" w:eastAsia="方正仿宋_GBK" w:cs="方正仿宋_GBK"/>
          <w:b w:val="0"/>
          <w:bCs w:val="0"/>
          <w:color w:val="000000" w:themeColor="text1"/>
          <w:sz w:val="32"/>
          <w:szCs w:val="32"/>
          <w:lang w:val="en-US" w:eastAsia="zh-CN"/>
          <w14:textFill>
            <w14:solidFill>
              <w14:schemeClr w14:val="tx1"/>
            </w14:solidFill>
          </w14:textFill>
        </w:rPr>
        <w:t>95</w:t>
      </w:r>
      <w:r>
        <w:rPr>
          <w:rFonts w:hint="eastAsia" w:ascii="方正仿宋_GBK" w:hAnsi="方正仿宋_GBK" w:eastAsia="方正仿宋_GBK" w:cs="方正仿宋_GBK"/>
          <w:b w:val="0"/>
          <w:bCs w:val="0"/>
          <w:color w:val="000000" w:themeColor="text1"/>
          <w:sz w:val="32"/>
          <w:szCs w:val="32"/>
          <w14:textFill>
            <w14:solidFill>
              <w14:schemeClr w14:val="tx1"/>
            </w14:solidFill>
          </w14:textFill>
        </w:rPr>
        <w:t>00.00元。本次报价为人民币含税全包价，包含人工服务费、工具使用费、部署</w:t>
      </w:r>
      <w:r>
        <w:rPr>
          <w:rFonts w:hint="eastAsia" w:ascii="方正仿宋_GBK" w:hAnsi="方正仿宋_GBK" w:eastAsia="方正仿宋_GBK" w:cs="方正仿宋_GBK"/>
          <w:b w:val="0"/>
          <w:bCs w:val="0"/>
          <w:color w:val="000000" w:themeColor="text1"/>
          <w:sz w:val="32"/>
          <w:szCs w:val="32"/>
          <w:lang w:val="en-US" w:eastAsia="zh-CN"/>
          <w14:textFill>
            <w14:solidFill>
              <w14:schemeClr w14:val="tx1"/>
            </w14:solidFill>
          </w14:textFill>
        </w:rPr>
        <w:t>实施</w:t>
      </w:r>
      <w:r>
        <w:rPr>
          <w:rFonts w:hint="eastAsia" w:ascii="方正仿宋_GBK" w:hAnsi="方正仿宋_GBK" w:eastAsia="方正仿宋_GBK" w:cs="方正仿宋_GBK"/>
          <w:b w:val="0"/>
          <w:bCs w:val="0"/>
          <w:color w:val="000000" w:themeColor="text1"/>
          <w:sz w:val="32"/>
          <w:szCs w:val="32"/>
          <w14:textFill>
            <w14:solidFill>
              <w14:schemeClr w14:val="tx1"/>
            </w14:solidFill>
          </w14:textFill>
        </w:rPr>
        <w:t>费、技术支持费、质保服务费、税费等所有与本项目相关的费用。因供应商自身原因造成漏报、少报，相关责任由其自行承担，采购人不再另行支付费用。</w:t>
      </w:r>
    </w:p>
    <w:p w14:paraId="28BF0A50">
      <w:pPr>
        <w:pStyle w:val="16"/>
        <w:keepNext w:val="0"/>
        <w:keepLines w:val="0"/>
        <w:pageBreakBefore w:val="0"/>
        <w:widowControl/>
        <w:numPr>
          <w:ilvl w:val="0"/>
          <w:numId w:val="4"/>
        </w:numPr>
        <w:kinsoku/>
        <w:wordWrap/>
        <w:overflowPunct/>
        <w:topLinePunct w:val="0"/>
        <w:autoSpaceDE/>
        <w:autoSpaceDN/>
        <w:bidi w:val="0"/>
        <w:adjustRightInd/>
        <w:snapToGrid/>
        <w:spacing w:line="240" w:lineRule="auto"/>
        <w:ind w:left="567" w:leftChars="0" w:hanging="284" w:firstLineChars="0"/>
        <w:textAlignment w:val="auto"/>
        <w:rPr>
          <w:rFonts w:hint="eastAsia" w:ascii="方正仿宋_GBK" w:hAnsi="方正仿宋_GBK" w:eastAsia="方正仿宋_GBK" w:cs="方正仿宋_GBK"/>
          <w:b w:val="0"/>
          <w:bCs w:val="0"/>
          <w:color w:val="000000" w:themeColor="text1"/>
          <w:sz w:val="32"/>
          <w:szCs w:val="32"/>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14:textFill>
            <w14:solidFill>
              <w14:schemeClr w14:val="tx1"/>
            </w14:solidFill>
          </w14:textFill>
        </w:rPr>
        <w:t>供应商须保证迁移后的身份认证系统与华为云基础设施、校内现有业务系统接口完全兼容，所有认证业务功能正常运行；如因迁移实施、配置不当导致兼容性问题，供应商须无偿整改并承担由此造成的损失。</w:t>
      </w:r>
    </w:p>
    <w:p w14:paraId="185CECD5">
      <w:pPr>
        <w:pStyle w:val="16"/>
        <w:keepNext w:val="0"/>
        <w:keepLines w:val="0"/>
        <w:pageBreakBefore w:val="0"/>
        <w:widowControl/>
        <w:numPr>
          <w:ilvl w:val="0"/>
          <w:numId w:val="4"/>
        </w:numPr>
        <w:kinsoku/>
        <w:wordWrap/>
        <w:overflowPunct/>
        <w:topLinePunct w:val="0"/>
        <w:autoSpaceDE/>
        <w:autoSpaceDN/>
        <w:bidi w:val="0"/>
        <w:adjustRightInd/>
        <w:snapToGrid/>
        <w:spacing w:line="240" w:lineRule="auto"/>
        <w:ind w:left="567" w:leftChars="0" w:hanging="284" w:firstLineChars="0"/>
        <w:textAlignment w:val="auto"/>
        <w:rPr>
          <w:rFonts w:hint="eastAsia" w:ascii="方正仿宋_GBK" w:hAnsi="方正仿宋_GBK" w:eastAsia="方正仿宋_GBK" w:cs="方正仿宋_GBK"/>
          <w:b w:val="0"/>
          <w:bCs w:val="0"/>
          <w:color w:val="000000" w:themeColor="text1"/>
          <w:sz w:val="32"/>
          <w:szCs w:val="32"/>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14:textFill>
            <w14:solidFill>
              <w14:schemeClr w14:val="tx1"/>
            </w14:solidFill>
          </w14:textFill>
        </w:rPr>
        <w:t>报价时须提供以下材料并加盖供应商公章：</w:t>
      </w:r>
    </w:p>
    <w:p w14:paraId="703159C9">
      <w:pPr>
        <w:pStyle w:val="16"/>
        <w:keepNext w:val="0"/>
        <w:keepLines w:val="0"/>
        <w:pageBreakBefore w:val="0"/>
        <w:widowControl/>
        <w:numPr>
          <w:ilvl w:val="0"/>
          <w:numId w:val="0"/>
        </w:numPr>
        <w:kinsoku/>
        <w:wordWrap/>
        <w:overflowPunct/>
        <w:topLinePunct w:val="0"/>
        <w:autoSpaceDE/>
        <w:autoSpaceDN/>
        <w:bidi w:val="0"/>
        <w:adjustRightInd/>
        <w:snapToGrid/>
        <w:spacing w:line="240" w:lineRule="auto"/>
        <w:ind w:left="420" w:leftChars="200"/>
        <w:textAlignment w:val="auto"/>
        <w:rPr>
          <w:rFonts w:hint="eastAsia" w:ascii="方正仿宋_GBK" w:hAnsi="方正仿宋_GBK" w:eastAsia="方正仿宋_GBK" w:cs="方正仿宋_GBK"/>
          <w:b w:val="0"/>
          <w:bCs w:val="0"/>
          <w:color w:val="000000" w:themeColor="text1"/>
          <w:sz w:val="32"/>
          <w:szCs w:val="32"/>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14:textFill>
            <w14:solidFill>
              <w14:schemeClr w14:val="tx1"/>
            </w14:solidFill>
          </w14:textFill>
        </w:rPr>
        <w:t>（1）营业执照副本复印件；</w:t>
      </w:r>
    </w:p>
    <w:p w14:paraId="59793DA3">
      <w:pPr>
        <w:pStyle w:val="16"/>
        <w:keepNext w:val="0"/>
        <w:keepLines w:val="0"/>
        <w:pageBreakBefore w:val="0"/>
        <w:widowControl/>
        <w:numPr>
          <w:ilvl w:val="0"/>
          <w:numId w:val="0"/>
        </w:numPr>
        <w:kinsoku/>
        <w:wordWrap/>
        <w:overflowPunct/>
        <w:topLinePunct w:val="0"/>
        <w:autoSpaceDE/>
        <w:autoSpaceDN/>
        <w:bidi w:val="0"/>
        <w:adjustRightInd/>
        <w:snapToGrid/>
        <w:spacing w:line="240" w:lineRule="auto"/>
        <w:ind w:left="420" w:leftChars="200"/>
        <w:textAlignment w:val="auto"/>
        <w:rPr>
          <w:rFonts w:hint="eastAsia" w:ascii="方正仿宋_GBK" w:hAnsi="方正仿宋_GBK" w:eastAsia="方正仿宋_GBK" w:cs="方正仿宋_GBK"/>
          <w:b w:val="0"/>
          <w:bCs w:val="0"/>
          <w:color w:val="000000" w:themeColor="text1"/>
          <w:sz w:val="32"/>
          <w:szCs w:val="32"/>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14:textFill>
            <w14:solidFill>
              <w14:schemeClr w14:val="tx1"/>
            </w14:solidFill>
          </w14:textFill>
        </w:rPr>
        <w:t>（2）项目实施方案概要（含迁移路径、加固方案、团队配置、进度计划）；</w:t>
      </w:r>
    </w:p>
    <w:p w14:paraId="6DCA1503">
      <w:pPr>
        <w:pStyle w:val="16"/>
        <w:keepNext w:val="0"/>
        <w:keepLines w:val="0"/>
        <w:pageBreakBefore w:val="0"/>
        <w:widowControl/>
        <w:numPr>
          <w:ilvl w:val="0"/>
          <w:numId w:val="0"/>
        </w:numPr>
        <w:kinsoku/>
        <w:wordWrap/>
        <w:overflowPunct/>
        <w:topLinePunct w:val="0"/>
        <w:autoSpaceDE/>
        <w:autoSpaceDN/>
        <w:bidi w:val="0"/>
        <w:adjustRightInd/>
        <w:snapToGrid/>
        <w:spacing w:line="240" w:lineRule="auto"/>
        <w:ind w:left="420" w:leftChars="200"/>
        <w:textAlignment w:val="auto"/>
        <w:rPr>
          <w:rFonts w:hint="eastAsia" w:ascii="方正仿宋_GBK" w:hAnsi="方正仿宋_GBK" w:eastAsia="方正仿宋_GBK" w:cs="方正仿宋_GBK"/>
          <w:b w:val="0"/>
          <w:bCs w:val="0"/>
          <w:color w:val="000000" w:themeColor="text1"/>
          <w:sz w:val="32"/>
          <w:szCs w:val="32"/>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14:textFill>
            <w14:solidFill>
              <w14:schemeClr w14:val="tx1"/>
            </w14:solidFill>
          </w14:textFill>
        </w:rPr>
        <w:t>（3）售后服务承诺函；</w:t>
      </w:r>
    </w:p>
    <w:p w14:paraId="4FD6A5AF">
      <w:pPr>
        <w:pStyle w:val="16"/>
        <w:keepNext w:val="0"/>
        <w:keepLines w:val="0"/>
        <w:pageBreakBefore w:val="0"/>
        <w:widowControl/>
        <w:numPr>
          <w:ilvl w:val="0"/>
          <w:numId w:val="0"/>
        </w:numPr>
        <w:kinsoku/>
        <w:wordWrap/>
        <w:overflowPunct/>
        <w:topLinePunct w:val="0"/>
        <w:autoSpaceDE/>
        <w:autoSpaceDN/>
        <w:bidi w:val="0"/>
        <w:adjustRightInd/>
        <w:snapToGrid/>
        <w:spacing w:line="240" w:lineRule="auto"/>
        <w:ind w:left="420" w:leftChars="200"/>
        <w:textAlignment w:val="auto"/>
        <w:rPr>
          <w:rFonts w:hint="eastAsia" w:ascii="方正仿宋_GBK" w:hAnsi="方正仿宋_GBK" w:eastAsia="方正仿宋_GBK" w:cs="方正仿宋_GBK"/>
          <w:b w:val="0"/>
          <w:bCs w:val="0"/>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14:textFill>
            <w14:solidFill>
              <w14:schemeClr w14:val="tx1"/>
            </w14:solidFill>
          </w14:textFill>
        </w:rPr>
        <w:t>（4）项目负责人及核心技术人员资质/经验</w:t>
      </w:r>
      <w:r>
        <w:rPr>
          <w:rFonts w:hint="eastAsia" w:ascii="方正仿宋_GBK" w:hAnsi="方正仿宋_GBK" w:eastAsia="方正仿宋_GBK" w:cs="方正仿宋_GBK"/>
          <w:b w:val="0"/>
          <w:bCs w:val="0"/>
          <w:color w:val="000000" w:themeColor="text1"/>
          <w:sz w:val="32"/>
          <w:szCs w:val="32"/>
          <w:lang w:val="en-US" w:eastAsia="zh-CN"/>
          <w14:textFill>
            <w14:solidFill>
              <w14:schemeClr w14:val="tx1"/>
            </w14:solidFill>
          </w14:textFill>
        </w:rPr>
        <w:t>等</w:t>
      </w:r>
      <w:bookmarkStart w:id="0" w:name="_GoBack"/>
      <w:bookmarkEnd w:id="0"/>
      <w:r>
        <w:rPr>
          <w:rFonts w:hint="eastAsia" w:ascii="方正仿宋_GBK" w:hAnsi="方正仿宋_GBK" w:eastAsia="方正仿宋_GBK" w:cs="方正仿宋_GBK"/>
          <w:b w:val="0"/>
          <w:bCs w:val="0"/>
          <w:color w:val="000000" w:themeColor="text1"/>
          <w:sz w:val="32"/>
          <w:szCs w:val="32"/>
          <w14:textFill>
            <w14:solidFill>
              <w14:schemeClr w14:val="tx1"/>
            </w14:solidFill>
          </w14:textFill>
        </w:rPr>
        <w:t>证明材料</w:t>
      </w:r>
      <w:r>
        <w:rPr>
          <w:rFonts w:hint="eastAsia" w:ascii="方正仿宋_GBK" w:hAnsi="方正仿宋_GBK" w:eastAsia="方正仿宋_GBK" w:cs="方正仿宋_GBK"/>
          <w:b w:val="0"/>
          <w:bCs w:val="0"/>
          <w:color w:val="000000" w:themeColor="text1"/>
          <w:sz w:val="32"/>
          <w:szCs w:val="32"/>
          <w:lang w:eastAsia="zh-CN"/>
          <w14:textFill>
            <w14:solidFill>
              <w14:schemeClr w14:val="tx1"/>
            </w14:solidFill>
          </w14:textFill>
        </w:rPr>
        <w:t>。</w:t>
      </w:r>
    </w:p>
    <w:p w14:paraId="69CE4FF9">
      <w:pPr>
        <w:pStyle w:val="16"/>
        <w:keepNext w:val="0"/>
        <w:keepLines w:val="0"/>
        <w:pageBreakBefore w:val="0"/>
        <w:widowControl/>
        <w:numPr>
          <w:ilvl w:val="0"/>
          <w:numId w:val="4"/>
        </w:numPr>
        <w:kinsoku/>
        <w:wordWrap/>
        <w:overflowPunct/>
        <w:topLinePunct w:val="0"/>
        <w:autoSpaceDE/>
        <w:autoSpaceDN/>
        <w:bidi w:val="0"/>
        <w:adjustRightInd/>
        <w:snapToGrid/>
        <w:spacing w:line="240" w:lineRule="auto"/>
        <w:ind w:left="567" w:leftChars="0" w:hanging="284" w:firstLineChars="0"/>
        <w:textAlignment w:val="auto"/>
        <w:rPr>
          <w:rFonts w:hint="eastAsia" w:ascii="方正仿宋_GBK" w:hAnsi="方正仿宋_GBK" w:eastAsia="方正仿宋_GBK" w:cs="方正仿宋_GBK"/>
          <w:b w:val="0"/>
          <w:bCs w:val="0"/>
          <w:color w:val="000000" w:themeColor="text1"/>
          <w:sz w:val="32"/>
          <w:szCs w:val="32"/>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14:textFill>
            <w14:solidFill>
              <w14:schemeClr w14:val="tx1"/>
            </w14:solidFill>
          </w14:textFill>
        </w:rPr>
        <w:t>报价人须在2026年</w:t>
      </w:r>
      <w:r>
        <w:rPr>
          <w:rFonts w:hint="eastAsia" w:ascii="方正仿宋_GBK" w:hAnsi="方正仿宋_GBK" w:eastAsia="方正仿宋_GBK" w:cs="方正仿宋_GBK"/>
          <w:b w:val="0"/>
          <w:bCs w:val="0"/>
          <w:color w:val="000000" w:themeColor="text1"/>
          <w:sz w:val="32"/>
          <w:szCs w:val="32"/>
          <w:lang w:val="en-US" w:eastAsia="zh-CN"/>
          <w14:textFill>
            <w14:solidFill>
              <w14:schemeClr w14:val="tx1"/>
            </w14:solidFill>
          </w14:textFill>
        </w:rPr>
        <w:t>9</w:t>
      </w:r>
      <w:r>
        <w:rPr>
          <w:rFonts w:hint="eastAsia" w:ascii="方正仿宋_GBK" w:hAnsi="方正仿宋_GBK" w:eastAsia="方正仿宋_GBK" w:cs="方正仿宋_GBK"/>
          <w:b w:val="0"/>
          <w:bCs w:val="0"/>
          <w:color w:val="000000" w:themeColor="text1"/>
          <w:sz w:val="32"/>
          <w:szCs w:val="32"/>
          <w14:textFill>
            <w14:solidFill>
              <w14:schemeClr w14:val="tx1"/>
            </w14:solidFill>
          </w14:textFill>
        </w:rPr>
        <w:t>月</w:t>
      </w:r>
      <w:r>
        <w:rPr>
          <w:rFonts w:hint="eastAsia" w:ascii="方正仿宋_GBK" w:hAnsi="方正仿宋_GBK" w:eastAsia="方正仿宋_GBK" w:cs="方正仿宋_GBK"/>
          <w:b w:val="0"/>
          <w:bCs w:val="0"/>
          <w:color w:val="000000" w:themeColor="text1"/>
          <w:sz w:val="32"/>
          <w:szCs w:val="32"/>
          <w:lang w:val="en-US" w:eastAsia="zh-CN"/>
          <w14:textFill>
            <w14:solidFill>
              <w14:schemeClr w14:val="tx1"/>
            </w14:solidFill>
          </w14:textFill>
        </w:rPr>
        <w:t>24</w:t>
      </w:r>
      <w:r>
        <w:rPr>
          <w:rFonts w:hint="eastAsia" w:ascii="方正仿宋_GBK" w:hAnsi="方正仿宋_GBK" w:eastAsia="方正仿宋_GBK" w:cs="方正仿宋_GBK"/>
          <w:b w:val="0"/>
          <w:bCs w:val="0"/>
          <w:color w:val="000000" w:themeColor="text1"/>
          <w:sz w:val="32"/>
          <w:szCs w:val="32"/>
          <w14:textFill>
            <w14:solidFill>
              <w14:schemeClr w14:val="tx1"/>
            </w14:solidFill>
          </w14:textFill>
        </w:rPr>
        <w:t>日1</w:t>
      </w:r>
      <w:r>
        <w:rPr>
          <w:rFonts w:hint="eastAsia" w:ascii="方正仿宋_GBK" w:hAnsi="方正仿宋_GBK" w:eastAsia="方正仿宋_GBK" w:cs="方正仿宋_GBK"/>
          <w:b w:val="0"/>
          <w:bCs w:val="0"/>
          <w:color w:val="000000" w:themeColor="text1"/>
          <w:sz w:val="32"/>
          <w:szCs w:val="32"/>
          <w:lang w:val="en-US" w:eastAsia="zh-CN"/>
          <w14:textFill>
            <w14:solidFill>
              <w14:schemeClr w14:val="tx1"/>
            </w14:solidFill>
          </w14:textFill>
        </w:rPr>
        <w:t>5</w:t>
      </w:r>
      <w:r>
        <w:rPr>
          <w:rFonts w:hint="eastAsia" w:ascii="方正仿宋_GBK" w:hAnsi="方正仿宋_GBK" w:eastAsia="方正仿宋_GBK" w:cs="方正仿宋_GBK"/>
          <w:b w:val="0"/>
          <w:bCs w:val="0"/>
          <w:color w:val="000000" w:themeColor="text1"/>
          <w:sz w:val="32"/>
          <w:szCs w:val="32"/>
          <w14:textFill>
            <w14:solidFill>
              <w14:schemeClr w14:val="tx1"/>
            </w14:solidFill>
          </w14:textFill>
        </w:rPr>
        <w:t>:00前，将填写完整并加盖鲜章的报价单及相关资料密封递交至四川外国语大学宏文楼306办公室，逾期送达或未按要求密封的报价文件不予接收。</w:t>
      </w:r>
    </w:p>
    <w:p w14:paraId="4BD70C2B">
      <w:pPr>
        <w:pStyle w:val="16"/>
        <w:keepNext w:val="0"/>
        <w:keepLines w:val="0"/>
        <w:pageBreakBefore w:val="0"/>
        <w:widowControl/>
        <w:numPr>
          <w:ilvl w:val="0"/>
          <w:numId w:val="4"/>
        </w:numPr>
        <w:kinsoku/>
        <w:wordWrap/>
        <w:overflowPunct/>
        <w:topLinePunct w:val="0"/>
        <w:autoSpaceDE/>
        <w:autoSpaceDN/>
        <w:bidi w:val="0"/>
        <w:adjustRightInd/>
        <w:snapToGrid/>
        <w:spacing w:line="240" w:lineRule="auto"/>
        <w:ind w:left="567" w:leftChars="0" w:hanging="284" w:firstLineChars="0"/>
        <w:textAlignment w:val="auto"/>
        <w:rPr>
          <w:rFonts w:hint="eastAsia" w:ascii="方正仿宋_GBK" w:hAnsi="方正仿宋_GBK" w:eastAsia="方正仿宋_GBK" w:cs="方正仿宋_GBK"/>
          <w:b w:val="0"/>
          <w:bCs w:val="0"/>
          <w:color w:val="000000" w:themeColor="text1"/>
          <w:sz w:val="32"/>
          <w:szCs w:val="32"/>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14:textFill>
            <w14:solidFill>
              <w14:schemeClr w14:val="tx1"/>
            </w14:solidFill>
          </w14:textFill>
        </w:rPr>
        <w:t>联系人：罗老师，联系电话：65385522。</w:t>
      </w:r>
    </w:p>
    <w:p w14:paraId="796BE30F">
      <w:pPr>
        <w:pStyle w:val="16"/>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eastAsia" w:ascii="方正仿宋_GBK" w:hAnsi="方正仿宋_GBK" w:eastAsia="方正仿宋_GBK" w:cs="方正仿宋_GBK"/>
          <w:b w:val="0"/>
          <w:bCs w:val="0"/>
          <w:color w:val="000000" w:themeColor="text1"/>
          <w:sz w:val="32"/>
          <w:szCs w:val="32"/>
          <w14:textFill>
            <w14:solidFill>
              <w14:schemeClr w14:val="tx1"/>
            </w14:solidFill>
          </w14:textFill>
        </w:rPr>
      </w:pPr>
    </w:p>
    <w:sectPr>
      <w:pgSz w:w="11906" w:h="16838"/>
      <w:pgMar w:top="1440" w:right="1134" w:bottom="1440" w:left="1134"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C158A6"/>
    <w:multiLevelType w:val="multilevel"/>
    <w:tmpl w:val="F1C158A6"/>
    <w:lvl w:ilvl="0" w:tentative="0">
      <w:start w:val="1"/>
      <w:numFmt w:val="decimal"/>
      <w:suff w:val="nothing"/>
      <w:lvlText w:val="%1."/>
      <w:lvlJc w:val="left"/>
      <w:pPr>
        <w:ind w:left="567" w:leftChars="0" w:hanging="284" w:firstLineChars="0"/>
      </w:pPr>
      <w:rPr>
        <w:rFonts w:hint="default" w:eastAsia="方正仿宋_GBK" w:cs="方正仿宋_GBK"/>
        <w:color w:val="000000" w:themeColor="text1"/>
        <w:sz w:val="32"/>
        <w:szCs w:val="32"/>
        <w14:textFill>
          <w14:solidFill>
            <w14:schemeClr w14:val="tx1"/>
          </w14:solidFill>
        </w14:textFill>
      </w:rPr>
    </w:lvl>
    <w:lvl w:ilvl="1" w:tentative="0">
      <w:start w:val="1"/>
      <w:numFmt w:val="lowerLetter"/>
      <w:lvlText w:val="%2."/>
      <w:lvlJc w:val="left"/>
      <w:pPr>
        <w:ind w:left="720" w:hanging="288"/>
      </w:pPr>
      <w:rPr>
        <w:color w:val="3370FF"/>
        <w:sz w:val="22"/>
        <w:szCs w:val="22"/>
      </w:rPr>
    </w:lvl>
    <w:lvl w:ilvl="2" w:tentative="0">
      <w:start w:val="1"/>
      <w:numFmt w:val="lowerRoman"/>
      <w:lvlText w:val="%3."/>
      <w:lvlJc w:val="left"/>
      <w:pPr>
        <w:ind w:left="1152" w:hanging="288"/>
      </w:pPr>
      <w:rPr>
        <w:color w:val="3370FF"/>
        <w:sz w:val="22"/>
        <w:szCs w:val="22"/>
      </w:rPr>
    </w:lvl>
    <w:lvl w:ilvl="3" w:tentative="0">
      <w:start w:val="1"/>
      <w:numFmt w:val="decimal"/>
      <w:lvlText w:val="%4."/>
      <w:lvlJc w:val="left"/>
      <w:pPr>
        <w:ind w:left="1583" w:hanging="288"/>
      </w:pPr>
      <w:rPr>
        <w:color w:val="3370FF"/>
        <w:sz w:val="22"/>
        <w:szCs w:val="22"/>
      </w:rPr>
    </w:lvl>
    <w:lvl w:ilvl="4" w:tentative="0">
      <w:start w:val="1"/>
      <w:numFmt w:val="lowerLetter"/>
      <w:lvlText w:val="%5."/>
      <w:lvlJc w:val="left"/>
      <w:pPr>
        <w:ind w:left="2015" w:hanging="288"/>
      </w:pPr>
      <w:rPr>
        <w:color w:val="3370FF"/>
        <w:sz w:val="22"/>
        <w:szCs w:val="22"/>
      </w:rPr>
    </w:lvl>
    <w:lvl w:ilvl="5" w:tentative="0">
      <w:start w:val="1"/>
      <w:numFmt w:val="lowerRoman"/>
      <w:lvlText w:val="%6."/>
      <w:lvlJc w:val="left"/>
      <w:pPr>
        <w:ind w:left="2448" w:hanging="288"/>
      </w:pPr>
      <w:rPr>
        <w:color w:val="3370FF"/>
        <w:sz w:val="22"/>
        <w:szCs w:val="22"/>
      </w:rPr>
    </w:lvl>
    <w:lvl w:ilvl="6" w:tentative="0">
      <w:start w:val="1"/>
      <w:numFmt w:val="decimal"/>
      <w:lvlText w:val="%7."/>
      <w:lvlJc w:val="left"/>
      <w:pPr>
        <w:ind w:left="2879" w:hanging="288"/>
      </w:pPr>
      <w:rPr>
        <w:color w:val="3370FF"/>
        <w:sz w:val="22"/>
        <w:szCs w:val="22"/>
      </w:rPr>
    </w:lvl>
    <w:lvl w:ilvl="7" w:tentative="0">
      <w:start w:val="1"/>
      <w:numFmt w:val="lowerLetter"/>
      <w:lvlText w:val="%8."/>
      <w:lvlJc w:val="left"/>
      <w:pPr>
        <w:ind w:left="3312" w:hanging="288"/>
      </w:pPr>
      <w:rPr>
        <w:color w:val="3370FF"/>
        <w:sz w:val="22"/>
        <w:szCs w:val="22"/>
      </w:rPr>
    </w:lvl>
    <w:lvl w:ilvl="8" w:tentative="0">
      <w:start w:val="1"/>
      <w:numFmt w:val="lowerRoman"/>
      <w:lvlText w:val="%9."/>
      <w:lvlJc w:val="left"/>
      <w:pPr>
        <w:ind w:left="3744" w:hanging="288"/>
      </w:pPr>
      <w:rPr>
        <w:color w:val="3370FF"/>
        <w:sz w:val="22"/>
        <w:szCs w:val="22"/>
      </w:rPr>
    </w:lvl>
  </w:abstractNum>
  <w:abstractNum w:abstractNumId="1">
    <w:nsid w:val="06D9F402"/>
    <w:multiLevelType w:val="singleLevel"/>
    <w:tmpl w:val="06D9F402"/>
    <w:lvl w:ilvl="0" w:tentative="0">
      <w:start w:val="1"/>
      <w:numFmt w:val="decimal"/>
      <w:suff w:val="nothing"/>
      <w:lvlText w:val="%1."/>
      <w:lvlJc w:val="left"/>
      <w:pPr>
        <w:ind w:left="567" w:leftChars="0" w:hanging="284" w:firstLineChars="0"/>
      </w:pPr>
      <w:rPr>
        <w:rFonts w:hint="default" w:ascii="方正仿宋_GBK" w:hAnsi="方正仿宋_GBK" w:eastAsia="方正仿宋_GBK" w:cs="方正仿宋_GBK"/>
        <w:sz w:val="32"/>
        <w:szCs w:val="32"/>
      </w:rPr>
    </w:lvl>
  </w:abstractNum>
  <w:abstractNum w:abstractNumId="2">
    <w:nsid w:val="17F166F9"/>
    <w:multiLevelType w:val="multilevel"/>
    <w:tmpl w:val="17F166F9"/>
    <w:lvl w:ilvl="0" w:tentative="0">
      <w:start w:val="1"/>
      <w:numFmt w:val="decimal"/>
      <w:suff w:val="nothing"/>
      <w:lvlText w:val="%1."/>
      <w:lvlJc w:val="left"/>
      <w:pPr>
        <w:ind w:left="567" w:leftChars="0" w:hanging="284" w:firstLineChars="0"/>
      </w:pPr>
      <w:rPr>
        <w:rFonts w:hint="default" w:eastAsia="方正仿宋_GBK" w:cs="方正仿宋_GBK"/>
        <w:color w:val="000000" w:themeColor="text1"/>
        <w:sz w:val="32"/>
        <w:szCs w:val="32"/>
        <w14:textFill>
          <w14:solidFill>
            <w14:schemeClr w14:val="tx1"/>
          </w14:solidFill>
        </w14:textFill>
      </w:rPr>
    </w:lvl>
    <w:lvl w:ilvl="1" w:tentative="0">
      <w:start w:val="1"/>
      <w:numFmt w:val="lowerLetter"/>
      <w:lvlText w:val="%2."/>
      <w:lvlJc w:val="left"/>
      <w:pPr>
        <w:ind w:left="720" w:hanging="288"/>
      </w:pPr>
      <w:rPr>
        <w:color w:val="3370FF"/>
        <w:sz w:val="22"/>
        <w:szCs w:val="22"/>
      </w:rPr>
    </w:lvl>
    <w:lvl w:ilvl="2" w:tentative="0">
      <w:start w:val="1"/>
      <w:numFmt w:val="lowerRoman"/>
      <w:lvlText w:val="%3."/>
      <w:lvlJc w:val="left"/>
      <w:pPr>
        <w:ind w:left="1152" w:hanging="288"/>
      </w:pPr>
      <w:rPr>
        <w:color w:val="3370FF"/>
        <w:sz w:val="22"/>
        <w:szCs w:val="22"/>
      </w:rPr>
    </w:lvl>
    <w:lvl w:ilvl="3" w:tentative="0">
      <w:start w:val="1"/>
      <w:numFmt w:val="decimal"/>
      <w:lvlText w:val="%4."/>
      <w:lvlJc w:val="left"/>
      <w:pPr>
        <w:ind w:left="1583" w:hanging="288"/>
      </w:pPr>
      <w:rPr>
        <w:color w:val="3370FF"/>
        <w:sz w:val="22"/>
        <w:szCs w:val="22"/>
      </w:rPr>
    </w:lvl>
    <w:lvl w:ilvl="4" w:tentative="0">
      <w:start w:val="1"/>
      <w:numFmt w:val="lowerLetter"/>
      <w:lvlText w:val="%5."/>
      <w:lvlJc w:val="left"/>
      <w:pPr>
        <w:ind w:left="2015" w:hanging="288"/>
      </w:pPr>
      <w:rPr>
        <w:color w:val="3370FF"/>
        <w:sz w:val="22"/>
        <w:szCs w:val="22"/>
      </w:rPr>
    </w:lvl>
    <w:lvl w:ilvl="5" w:tentative="0">
      <w:start w:val="1"/>
      <w:numFmt w:val="lowerRoman"/>
      <w:lvlText w:val="%6."/>
      <w:lvlJc w:val="left"/>
      <w:pPr>
        <w:ind w:left="2448" w:hanging="288"/>
      </w:pPr>
      <w:rPr>
        <w:color w:val="3370FF"/>
        <w:sz w:val="22"/>
        <w:szCs w:val="22"/>
      </w:rPr>
    </w:lvl>
    <w:lvl w:ilvl="6" w:tentative="0">
      <w:start w:val="1"/>
      <w:numFmt w:val="decimal"/>
      <w:lvlText w:val="%7."/>
      <w:lvlJc w:val="left"/>
      <w:pPr>
        <w:ind w:left="2879" w:hanging="288"/>
      </w:pPr>
      <w:rPr>
        <w:color w:val="3370FF"/>
        <w:sz w:val="22"/>
        <w:szCs w:val="22"/>
      </w:rPr>
    </w:lvl>
    <w:lvl w:ilvl="7" w:tentative="0">
      <w:start w:val="1"/>
      <w:numFmt w:val="lowerLetter"/>
      <w:lvlText w:val="%8."/>
      <w:lvlJc w:val="left"/>
      <w:pPr>
        <w:ind w:left="3312" w:hanging="288"/>
      </w:pPr>
      <w:rPr>
        <w:color w:val="3370FF"/>
        <w:sz w:val="22"/>
        <w:szCs w:val="22"/>
      </w:rPr>
    </w:lvl>
    <w:lvl w:ilvl="8" w:tentative="0">
      <w:start w:val="1"/>
      <w:numFmt w:val="lowerRoman"/>
      <w:lvlText w:val="%9."/>
      <w:lvlJc w:val="left"/>
      <w:pPr>
        <w:ind w:left="3744" w:hanging="288"/>
      </w:pPr>
      <w:rPr>
        <w:color w:val="3370FF"/>
        <w:sz w:val="22"/>
        <w:szCs w:val="22"/>
      </w:rPr>
    </w:lvl>
  </w:abstractNum>
  <w:abstractNum w:abstractNumId="3">
    <w:nsid w:val="72537D62"/>
    <w:multiLevelType w:val="multilevel"/>
    <w:tmpl w:val="72537D62"/>
    <w:lvl w:ilvl="0" w:tentative="0">
      <w:start w:val="1"/>
      <w:numFmt w:val="decimal"/>
      <w:suff w:val="nothing"/>
      <w:lvlText w:val="%1."/>
      <w:lvlJc w:val="left"/>
      <w:pPr>
        <w:ind w:left="567" w:leftChars="0" w:hanging="284" w:firstLineChars="0"/>
      </w:pPr>
      <w:rPr>
        <w:rFonts w:hint="default" w:eastAsia="方正仿宋_GBK" w:cs="方正仿宋_GBK"/>
        <w:color w:val="000000" w:themeColor="text1"/>
        <w:sz w:val="32"/>
        <w:szCs w:val="32"/>
        <w14:textFill>
          <w14:solidFill>
            <w14:schemeClr w14:val="tx1"/>
          </w14:solidFill>
        </w14:textFill>
      </w:rPr>
    </w:lvl>
    <w:lvl w:ilvl="1" w:tentative="0">
      <w:start w:val="1"/>
      <w:numFmt w:val="lowerLetter"/>
      <w:lvlText w:val="%2."/>
      <w:lvlJc w:val="left"/>
      <w:pPr>
        <w:ind w:left="720" w:hanging="288"/>
      </w:pPr>
      <w:rPr>
        <w:color w:val="3370FF"/>
        <w:sz w:val="22"/>
        <w:szCs w:val="22"/>
      </w:rPr>
    </w:lvl>
    <w:lvl w:ilvl="2" w:tentative="0">
      <w:start w:val="1"/>
      <w:numFmt w:val="lowerRoman"/>
      <w:lvlText w:val="%3."/>
      <w:lvlJc w:val="left"/>
      <w:pPr>
        <w:ind w:left="1152" w:hanging="288"/>
      </w:pPr>
      <w:rPr>
        <w:color w:val="3370FF"/>
        <w:sz w:val="22"/>
        <w:szCs w:val="22"/>
      </w:rPr>
    </w:lvl>
    <w:lvl w:ilvl="3" w:tentative="0">
      <w:start w:val="1"/>
      <w:numFmt w:val="decimal"/>
      <w:lvlText w:val="%4."/>
      <w:lvlJc w:val="left"/>
      <w:pPr>
        <w:ind w:left="1583" w:hanging="288"/>
      </w:pPr>
      <w:rPr>
        <w:color w:val="3370FF"/>
        <w:sz w:val="22"/>
        <w:szCs w:val="22"/>
      </w:rPr>
    </w:lvl>
    <w:lvl w:ilvl="4" w:tentative="0">
      <w:start w:val="1"/>
      <w:numFmt w:val="lowerLetter"/>
      <w:lvlText w:val="%5."/>
      <w:lvlJc w:val="left"/>
      <w:pPr>
        <w:ind w:left="2015" w:hanging="288"/>
      </w:pPr>
      <w:rPr>
        <w:color w:val="3370FF"/>
        <w:sz w:val="22"/>
        <w:szCs w:val="22"/>
      </w:rPr>
    </w:lvl>
    <w:lvl w:ilvl="5" w:tentative="0">
      <w:start w:val="1"/>
      <w:numFmt w:val="lowerRoman"/>
      <w:lvlText w:val="%6."/>
      <w:lvlJc w:val="left"/>
      <w:pPr>
        <w:ind w:left="2448" w:hanging="288"/>
      </w:pPr>
      <w:rPr>
        <w:color w:val="3370FF"/>
        <w:sz w:val="22"/>
        <w:szCs w:val="22"/>
      </w:rPr>
    </w:lvl>
    <w:lvl w:ilvl="6" w:tentative="0">
      <w:start w:val="1"/>
      <w:numFmt w:val="decimal"/>
      <w:lvlText w:val="%7."/>
      <w:lvlJc w:val="left"/>
      <w:pPr>
        <w:ind w:left="2879" w:hanging="288"/>
      </w:pPr>
      <w:rPr>
        <w:color w:val="3370FF"/>
        <w:sz w:val="22"/>
        <w:szCs w:val="22"/>
      </w:rPr>
    </w:lvl>
    <w:lvl w:ilvl="7" w:tentative="0">
      <w:start w:val="1"/>
      <w:numFmt w:val="lowerLetter"/>
      <w:lvlText w:val="%8."/>
      <w:lvlJc w:val="left"/>
      <w:pPr>
        <w:ind w:left="3312" w:hanging="288"/>
      </w:pPr>
      <w:rPr>
        <w:color w:val="3370FF"/>
        <w:sz w:val="22"/>
        <w:szCs w:val="22"/>
      </w:rPr>
    </w:lvl>
    <w:lvl w:ilvl="8" w:tentative="0">
      <w:start w:val="1"/>
      <w:numFmt w:val="lowerRoman"/>
      <w:lvlText w:val="%9."/>
      <w:lvlJc w:val="left"/>
      <w:pPr>
        <w:ind w:left="3744" w:hanging="288"/>
      </w:pPr>
      <w:rPr>
        <w:color w:val="3370FF"/>
        <w:sz w:val="22"/>
        <w:szCs w:val="22"/>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embedSystemFonts/>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doNotUseIndentAsNumberingTabStop/>
    <w:compatSetting w:name="compatibilityMode" w:uri="http://schemas.microsoft.com/office/word" w:val="15"/>
  </w:compat>
  <w:rsids>
    <w:rsidRoot w:val="00000000"/>
    <w:rsid w:val="04A45FA2"/>
    <w:rsid w:val="0636392C"/>
    <w:rsid w:val="0FE60171"/>
    <w:rsid w:val="14111FFD"/>
    <w:rsid w:val="15C56A7A"/>
    <w:rsid w:val="19DD3E6C"/>
    <w:rsid w:val="1C277B18"/>
    <w:rsid w:val="1D70376F"/>
    <w:rsid w:val="1E1144F2"/>
    <w:rsid w:val="22C02765"/>
    <w:rsid w:val="287E009C"/>
    <w:rsid w:val="29143B49"/>
    <w:rsid w:val="29494DB0"/>
    <w:rsid w:val="2B936D67"/>
    <w:rsid w:val="2D430559"/>
    <w:rsid w:val="32A93554"/>
    <w:rsid w:val="343E1A7A"/>
    <w:rsid w:val="345B0173"/>
    <w:rsid w:val="35B00755"/>
    <w:rsid w:val="36DB5CA6"/>
    <w:rsid w:val="3ACF167E"/>
    <w:rsid w:val="3B1A1138"/>
    <w:rsid w:val="3EBF2CEF"/>
    <w:rsid w:val="41D975E4"/>
    <w:rsid w:val="420B38E3"/>
    <w:rsid w:val="436A3442"/>
    <w:rsid w:val="43E450C2"/>
    <w:rsid w:val="46A61E2C"/>
    <w:rsid w:val="47A143A2"/>
    <w:rsid w:val="48C540C0"/>
    <w:rsid w:val="4A3E412A"/>
    <w:rsid w:val="4C330B80"/>
    <w:rsid w:val="51AC0513"/>
    <w:rsid w:val="51E57154"/>
    <w:rsid w:val="52ED26BB"/>
    <w:rsid w:val="5D3A69D3"/>
    <w:rsid w:val="5F387044"/>
    <w:rsid w:val="62255EA3"/>
    <w:rsid w:val="62D24595"/>
    <w:rsid w:val="6CDF56F5"/>
    <w:rsid w:val="6DBBA654"/>
    <w:rsid w:val="6EB6E301"/>
    <w:rsid w:val="6EEF25BC"/>
    <w:rsid w:val="6F922E72"/>
    <w:rsid w:val="71B74C07"/>
    <w:rsid w:val="72D92952"/>
    <w:rsid w:val="73722F12"/>
    <w:rsid w:val="759F29CA"/>
    <w:rsid w:val="779E1547"/>
    <w:rsid w:val="77FF6B35"/>
    <w:rsid w:val="7DEFF48B"/>
    <w:rsid w:val="7E7B7874"/>
    <w:rsid w:val="7FFF0B1F"/>
    <w:rsid w:val="7FFF87B7"/>
    <w:rsid w:val="9D9D97A4"/>
    <w:rsid w:val="BEEFB1CB"/>
    <w:rsid w:val="DDDE8F06"/>
    <w:rsid w:val="EDFD2F2F"/>
    <w:rsid w:val="EEEF5CB6"/>
    <w:rsid w:val="EF6FD688"/>
    <w:rsid w:val="FB75FCC0"/>
    <w:rsid w:val="FD5DE89E"/>
    <w:rsid w:val="FDA67349"/>
    <w:rsid w:val="FFFAFE49"/>
    <w:rsid w:val="FFFE987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3">
    <w:name w:val="heading 2"/>
    <w:next w:val="1"/>
    <w:qFormat/>
    <w:uiPriority w:val="0"/>
    <w:pPr>
      <w:spacing w:before="320" w:after="120" w:line="288" w:lineRule="auto"/>
      <w:ind w:left="0"/>
      <w:jc w:val="left"/>
      <w:outlineLvl w:val="1"/>
    </w:pPr>
    <w:rPr>
      <w:rFonts w:ascii="Arial" w:hAnsi="Arial" w:eastAsia="等线" w:cs="Arial"/>
      <w:b/>
      <w:bCs/>
      <w:sz w:val="32"/>
      <w:szCs w:val="32"/>
    </w:rPr>
  </w:style>
  <w:style w:type="paragraph" w:styleId="4">
    <w:name w:val="heading 3"/>
    <w:next w:val="1"/>
    <w:qFormat/>
    <w:uiPriority w:val="0"/>
    <w:pPr>
      <w:spacing w:before="300" w:after="120" w:line="288" w:lineRule="auto"/>
      <w:ind w:left="0"/>
      <w:jc w:val="left"/>
      <w:outlineLvl w:val="2"/>
    </w:pPr>
    <w:rPr>
      <w:rFonts w:ascii="Arial" w:hAnsi="Arial" w:eastAsia="等线" w:cs="Arial"/>
      <w:b/>
      <w:bCs/>
      <w:sz w:val="30"/>
      <w:szCs w:val="30"/>
    </w:rPr>
  </w:style>
  <w:style w:type="paragraph" w:styleId="5">
    <w:name w:val="heading 4"/>
    <w:next w:val="1"/>
    <w:qFormat/>
    <w:uiPriority w:val="0"/>
    <w:pPr>
      <w:spacing w:before="260" w:after="120" w:line="288" w:lineRule="auto"/>
      <w:ind w:left="0"/>
      <w:jc w:val="left"/>
      <w:outlineLvl w:val="3"/>
    </w:pPr>
    <w:rPr>
      <w:rFonts w:ascii="Arial" w:hAnsi="Arial" w:eastAsia="等线" w:cs="Arial"/>
      <w:b/>
      <w:bCs/>
      <w:sz w:val="28"/>
      <w:szCs w:val="28"/>
    </w:rPr>
  </w:style>
  <w:style w:type="paragraph" w:styleId="6">
    <w:name w:val="heading 5"/>
    <w:next w:val="1"/>
    <w:qFormat/>
    <w:uiPriority w:val="0"/>
    <w:pPr>
      <w:spacing w:before="240" w:after="120" w:line="288" w:lineRule="auto"/>
      <w:ind w:left="0"/>
      <w:jc w:val="left"/>
      <w:outlineLvl w:val="4"/>
    </w:pPr>
    <w:rPr>
      <w:rFonts w:ascii="Arial" w:hAnsi="Arial" w:eastAsia="等线" w:cs="Arial"/>
      <w:b/>
      <w:bCs/>
      <w:sz w:val="24"/>
      <w:szCs w:val="24"/>
    </w:rPr>
  </w:style>
  <w:style w:type="paragraph" w:styleId="7">
    <w:name w:val="heading 6"/>
    <w:next w:val="1"/>
    <w:qFormat/>
    <w:uiPriority w:val="0"/>
    <w:pPr>
      <w:spacing w:before="240" w:after="120" w:line="288" w:lineRule="auto"/>
      <w:ind w:left="0"/>
      <w:jc w:val="left"/>
      <w:outlineLvl w:val="5"/>
    </w:pPr>
    <w:rPr>
      <w:rFonts w:ascii="Arial" w:hAnsi="Arial" w:eastAsia="等线" w:cs="Arial"/>
      <w:b/>
      <w:bCs/>
      <w:sz w:val="24"/>
      <w:szCs w:val="24"/>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8">
    <w:name w:val="footnote text"/>
    <w:link w:val="15"/>
    <w:semiHidden/>
    <w:unhideWhenUsed/>
    <w:qFormat/>
    <w:uiPriority w:val="99"/>
    <w:pPr>
      <w:spacing w:after="0" w:line="240" w:lineRule="auto"/>
    </w:pPr>
    <w:rPr>
      <w:rFonts w:asciiTheme="minorHAnsi" w:hAnsiTheme="minorHAnsi" w:eastAsiaTheme="minorEastAsia" w:cstheme="minorBidi"/>
      <w:sz w:val="20"/>
      <w:szCs w:val="20"/>
    </w:rPr>
  </w:style>
  <w:style w:type="paragraph" w:styleId="9">
    <w:name w:val="Title"/>
    <w:qFormat/>
    <w:uiPriority w:val="0"/>
    <w:pPr>
      <w:spacing w:before="480" w:after="480" w:line="288" w:lineRule="auto"/>
      <w:ind w:left="0"/>
    </w:pPr>
    <w:rPr>
      <w:rFonts w:ascii="Arial" w:hAnsi="Arial" w:eastAsia="等线" w:cs="Arial"/>
      <w:b/>
      <w:bCs/>
      <w:sz w:val="52"/>
      <w:szCs w:val="52"/>
    </w:rPr>
  </w:style>
  <w:style w:type="character" w:styleId="12">
    <w:name w:val="Hyperlink"/>
    <w:unhideWhenUsed/>
    <w:qFormat/>
    <w:uiPriority w:val="99"/>
    <w:rPr>
      <w:color w:val="0563C1"/>
      <w:u w:val="single"/>
    </w:rPr>
  </w:style>
  <w:style w:type="character" w:styleId="13">
    <w:name w:val="footnote reference"/>
    <w:semiHidden/>
    <w:unhideWhenUsed/>
    <w:qFormat/>
    <w:uiPriority w:val="99"/>
    <w:rPr>
      <w:vertAlign w:val="superscript"/>
    </w:rPr>
  </w:style>
  <w:style w:type="paragraph" w:styleId="14">
    <w:name w:val="List Paragraph"/>
    <w:qFormat/>
    <w:uiPriority w:val="0"/>
    <w:rPr>
      <w:rFonts w:asciiTheme="minorHAnsi" w:hAnsiTheme="minorHAnsi" w:eastAsiaTheme="minorEastAsia" w:cstheme="minorBidi"/>
      <w:sz w:val="21"/>
      <w:szCs w:val="22"/>
    </w:rPr>
  </w:style>
  <w:style w:type="character" w:customStyle="1" w:styleId="15">
    <w:name w:val="Footnote Text Char"/>
    <w:link w:val="8"/>
    <w:semiHidden/>
    <w:unhideWhenUsed/>
    <w:qFormat/>
    <w:uiPriority w:val="99"/>
    <w:rPr>
      <w:sz w:val="20"/>
      <w:szCs w:val="20"/>
    </w:rPr>
  </w:style>
  <w:style w:type="paragraph" w:customStyle="1" w:styleId="16">
    <w:name w:val="_Style 13"/>
    <w:qFormat/>
    <w:uiPriority w:val="0"/>
    <w:pPr>
      <w:spacing w:before="120" w:after="120" w:line="288" w:lineRule="auto"/>
      <w:ind w:left="0"/>
      <w:jc w:val="left"/>
    </w:pPr>
    <w:rPr>
      <w:rFonts w:ascii="Arial" w:hAnsi="Arial" w:eastAsia="等线" w:cs="Arial"/>
      <w:sz w:val="22"/>
      <w:szCs w:val="22"/>
    </w:rPr>
  </w:style>
  <w:style w:type="paragraph" w:customStyle="1" w:styleId="17">
    <w:name w:val="_Style 14"/>
    <w:qFormat/>
    <w:uiPriority w:val="0"/>
    <w:pPr>
      <w:spacing w:before="120" w:after="120" w:line="288" w:lineRule="auto"/>
      <w:ind w:left="0"/>
      <w:jc w:val="left"/>
    </w:pPr>
    <w:rPr>
      <w:rFonts w:ascii="Arial" w:hAnsi="Arial" w:eastAsia="等线" w:cs="Arial"/>
      <w:color w:val="8F959E"/>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2882</Words>
  <Characters>3124</Characters>
  <TotalTime>363</TotalTime>
  <ScaleCrop>false</ScaleCrop>
  <LinksUpToDate>false</LinksUpToDate>
  <CharactersWithSpaces>3134</CharactersWithSpaces>
  <Application>WPS Office_12.1.0.26885_F1E327BC-269C-435d-A152-05C5408002CA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2025-07-20T16:01:00Z</dcterms:created>
  <dc:creator>Un-named</dc:creator>
  <cp:lastModifiedBy>罗力文</cp:lastModifiedBy>
  <dcterms:modified xsi:type="dcterms:W3CDTF">2026-09-21T14:07:12Z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eyJoZGlkIjoiMzEyYWNmNDhhMDQzZjA2OWVhOTQ3NzQ0N2IxYTA4YjciLCJ1c2VySWQiOiIxNTg5NzA1NjUzIn0=</vt:lpwstr>
  </property>
  <property fmtid="{D5CDD505-2E9C-101B-9397-08002B2CF9AE}" pid="3" name="KSOProductBuildVer">
    <vt:lpwstr>2052-12.1.0.26885</vt:lpwstr>
  </property>
  <property fmtid="{D5CDD505-2E9C-101B-9397-08002B2CF9AE}" pid="4" name="ICV">
    <vt:lpwstr>DDCC153154914897A55291725E146240_13</vt:lpwstr>
  </property>
</Properties>
</file>